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443D" w14:textId="77777777" w:rsidR="00755FD0" w:rsidRPr="003A4001" w:rsidRDefault="00755FD0">
      <w:pPr>
        <w:rPr>
          <w:sz w:val="20"/>
          <w:szCs w:val="20"/>
        </w:rPr>
      </w:pPr>
    </w:p>
    <w:tbl>
      <w:tblPr>
        <w:tblStyle w:val="TableGrid"/>
        <w:tblpPr w:leftFromText="180" w:rightFromText="180" w:vertAnchor="text" w:tblpX="-709"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4"/>
        <w:gridCol w:w="7846"/>
      </w:tblGrid>
      <w:tr w:rsidR="00212C81" w:rsidRPr="003A4001" w14:paraId="42F597B2" w14:textId="77777777" w:rsidTr="6EC16D71">
        <w:trPr>
          <w:cantSplit/>
          <w:trHeight w:val="397"/>
        </w:trPr>
        <w:tc>
          <w:tcPr>
            <w:tcW w:w="2644" w:type="dxa"/>
            <w:vAlign w:val="center"/>
          </w:tcPr>
          <w:p w14:paraId="1332A048" w14:textId="77777777" w:rsidR="00212C81" w:rsidRPr="003A4001" w:rsidRDefault="00212C81" w:rsidP="002871DB">
            <w:pPr>
              <w:rPr>
                <w:sz w:val="20"/>
                <w:szCs w:val="20"/>
              </w:rPr>
            </w:pPr>
            <w:r w:rsidRPr="003A4001">
              <w:rPr>
                <w:b/>
                <w:sz w:val="20"/>
                <w:szCs w:val="20"/>
              </w:rPr>
              <w:t>Service:</w:t>
            </w:r>
          </w:p>
        </w:tc>
        <w:tc>
          <w:tcPr>
            <w:tcW w:w="7846" w:type="dxa"/>
            <w:vAlign w:val="center"/>
          </w:tcPr>
          <w:p w14:paraId="183BA354" w14:textId="146CD656" w:rsidR="00212C81" w:rsidRPr="003A4001" w:rsidRDefault="00A17023" w:rsidP="002871DB">
            <w:pPr>
              <w:rPr>
                <w:sz w:val="20"/>
                <w:szCs w:val="20"/>
              </w:rPr>
            </w:pPr>
            <w:r>
              <w:rPr>
                <w:sz w:val="20"/>
                <w:szCs w:val="20"/>
              </w:rPr>
              <w:t xml:space="preserve">Central Services </w:t>
            </w:r>
          </w:p>
        </w:tc>
      </w:tr>
      <w:tr w:rsidR="00212C81" w:rsidRPr="003A4001" w14:paraId="126C1E01" w14:textId="77777777" w:rsidTr="6EC16D71">
        <w:trPr>
          <w:cantSplit/>
          <w:trHeight w:val="397"/>
        </w:trPr>
        <w:tc>
          <w:tcPr>
            <w:tcW w:w="2644" w:type="dxa"/>
            <w:vAlign w:val="center"/>
          </w:tcPr>
          <w:p w14:paraId="62C95AC2" w14:textId="77777777" w:rsidR="00212C81" w:rsidRPr="003A4001" w:rsidRDefault="00212C81" w:rsidP="002871DB">
            <w:pPr>
              <w:rPr>
                <w:sz w:val="20"/>
                <w:szCs w:val="20"/>
              </w:rPr>
            </w:pPr>
            <w:r w:rsidRPr="003A4001">
              <w:rPr>
                <w:b/>
                <w:sz w:val="20"/>
                <w:szCs w:val="20"/>
              </w:rPr>
              <w:t>Post title:</w:t>
            </w:r>
          </w:p>
        </w:tc>
        <w:tc>
          <w:tcPr>
            <w:tcW w:w="7846" w:type="dxa"/>
            <w:vAlign w:val="center"/>
          </w:tcPr>
          <w:p w14:paraId="61ABAF2C" w14:textId="72E6E132" w:rsidR="00212C81" w:rsidRPr="003A4001" w:rsidRDefault="00A72F23" w:rsidP="002871DB">
            <w:pPr>
              <w:rPr>
                <w:sz w:val="20"/>
                <w:szCs w:val="20"/>
              </w:rPr>
            </w:pPr>
            <w:r w:rsidRPr="003A4001">
              <w:rPr>
                <w:sz w:val="20"/>
                <w:szCs w:val="20"/>
              </w:rPr>
              <w:t xml:space="preserve">Head of Assurance </w:t>
            </w:r>
          </w:p>
        </w:tc>
      </w:tr>
      <w:tr w:rsidR="00212C81" w:rsidRPr="003A4001" w14:paraId="48206FDA" w14:textId="77777777" w:rsidTr="6EC16D71">
        <w:trPr>
          <w:cantSplit/>
          <w:trHeight w:val="397"/>
        </w:trPr>
        <w:tc>
          <w:tcPr>
            <w:tcW w:w="2644" w:type="dxa"/>
            <w:vAlign w:val="center"/>
          </w:tcPr>
          <w:p w14:paraId="58C7B8DF" w14:textId="77777777" w:rsidR="00212C81" w:rsidRPr="003A4001" w:rsidRDefault="00212C81" w:rsidP="002871DB">
            <w:pPr>
              <w:rPr>
                <w:sz w:val="20"/>
                <w:szCs w:val="20"/>
              </w:rPr>
            </w:pPr>
            <w:r w:rsidRPr="003A4001">
              <w:rPr>
                <w:b/>
                <w:sz w:val="20"/>
                <w:szCs w:val="20"/>
              </w:rPr>
              <w:t>Grade:</w:t>
            </w:r>
          </w:p>
        </w:tc>
        <w:tc>
          <w:tcPr>
            <w:tcW w:w="7846" w:type="dxa"/>
            <w:vAlign w:val="center"/>
          </w:tcPr>
          <w:p w14:paraId="010C18CF" w14:textId="1C484E60" w:rsidR="00212C81" w:rsidRPr="003A4001" w:rsidRDefault="00A17023" w:rsidP="002871DB">
            <w:pPr>
              <w:rPr>
                <w:sz w:val="20"/>
                <w:szCs w:val="20"/>
              </w:rPr>
            </w:pPr>
            <w:r w:rsidRPr="6EC16D71">
              <w:rPr>
                <w:sz w:val="20"/>
                <w:szCs w:val="20"/>
              </w:rPr>
              <w:t xml:space="preserve">HOS  </w:t>
            </w:r>
            <w:r w:rsidR="2504DEA1" w:rsidRPr="6EC16D71">
              <w:rPr>
                <w:sz w:val="20"/>
                <w:szCs w:val="20"/>
              </w:rPr>
              <w:t>2</w:t>
            </w:r>
          </w:p>
        </w:tc>
      </w:tr>
      <w:tr w:rsidR="00212C81" w:rsidRPr="003A4001" w14:paraId="6EDDF0F6" w14:textId="77777777" w:rsidTr="6EC16D71">
        <w:trPr>
          <w:cantSplit/>
          <w:trHeight w:val="397"/>
        </w:trPr>
        <w:tc>
          <w:tcPr>
            <w:tcW w:w="2644" w:type="dxa"/>
            <w:vAlign w:val="center"/>
          </w:tcPr>
          <w:p w14:paraId="1F6FCFF2" w14:textId="77777777" w:rsidR="00212C81" w:rsidRPr="003A4001" w:rsidRDefault="00212C81" w:rsidP="002871DB">
            <w:pPr>
              <w:rPr>
                <w:b/>
                <w:sz w:val="20"/>
                <w:szCs w:val="20"/>
              </w:rPr>
            </w:pPr>
            <w:r w:rsidRPr="003A4001">
              <w:rPr>
                <w:b/>
                <w:sz w:val="20"/>
                <w:szCs w:val="20"/>
              </w:rPr>
              <w:t>Responsible to:</w:t>
            </w:r>
          </w:p>
        </w:tc>
        <w:tc>
          <w:tcPr>
            <w:tcW w:w="7846" w:type="dxa"/>
            <w:vAlign w:val="center"/>
          </w:tcPr>
          <w:p w14:paraId="1F893C60" w14:textId="23011995" w:rsidR="00212C81" w:rsidRPr="003A4001" w:rsidRDefault="00A17023" w:rsidP="002871DB">
            <w:pPr>
              <w:rPr>
                <w:sz w:val="20"/>
                <w:szCs w:val="20"/>
              </w:rPr>
            </w:pPr>
            <w:r>
              <w:rPr>
                <w:sz w:val="20"/>
                <w:szCs w:val="20"/>
              </w:rPr>
              <w:t xml:space="preserve">Director of Resources </w:t>
            </w:r>
          </w:p>
        </w:tc>
      </w:tr>
      <w:tr w:rsidR="00212C81" w:rsidRPr="003A4001" w14:paraId="24AAEEC5" w14:textId="77777777" w:rsidTr="6EC16D71">
        <w:trPr>
          <w:cantSplit/>
          <w:trHeight w:val="397"/>
        </w:trPr>
        <w:tc>
          <w:tcPr>
            <w:tcW w:w="2644" w:type="dxa"/>
            <w:vAlign w:val="center"/>
          </w:tcPr>
          <w:p w14:paraId="5371EF26" w14:textId="77777777" w:rsidR="00212C81" w:rsidRPr="003A4001" w:rsidRDefault="00212C81" w:rsidP="002871DB">
            <w:pPr>
              <w:rPr>
                <w:b/>
                <w:sz w:val="20"/>
                <w:szCs w:val="20"/>
              </w:rPr>
            </w:pPr>
            <w:r w:rsidRPr="003A4001">
              <w:rPr>
                <w:b/>
                <w:sz w:val="20"/>
                <w:szCs w:val="20"/>
              </w:rPr>
              <w:t>Staff managed:</w:t>
            </w:r>
          </w:p>
        </w:tc>
        <w:tc>
          <w:tcPr>
            <w:tcW w:w="7846" w:type="dxa"/>
            <w:vAlign w:val="center"/>
          </w:tcPr>
          <w:p w14:paraId="54F0604B" w14:textId="36D0B947" w:rsidR="00212C81" w:rsidRPr="003A4001" w:rsidRDefault="00600753" w:rsidP="002871DB">
            <w:pPr>
              <w:rPr>
                <w:sz w:val="20"/>
                <w:szCs w:val="20"/>
              </w:rPr>
            </w:pPr>
            <w:sdt>
              <w:sdtPr>
                <w:rPr>
                  <w:rFonts w:eastAsia="Times New Roman"/>
                  <w:sz w:val="20"/>
                  <w:szCs w:val="20"/>
                  <w:lang w:eastAsia="en-GB"/>
                </w:rPr>
                <w:alias w:val="Choose from the list below"/>
                <w:tag w:val="Choose from the list below"/>
                <w:id w:val="12036476"/>
                <w:placeholder>
                  <w:docPart w:val="BCA72430712A4A2B84F487DA9B7F50CC"/>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BE43F9" w:rsidRPr="003A4001">
                  <w:rPr>
                    <w:rFonts w:eastAsia="Times New Roman"/>
                    <w:sz w:val="20"/>
                    <w:szCs w:val="20"/>
                    <w:lang w:eastAsia="en-GB"/>
                  </w:rPr>
                  <w:t>Manages a team of specialist professionals</w:t>
                </w:r>
              </w:sdtContent>
            </w:sdt>
          </w:p>
        </w:tc>
      </w:tr>
      <w:tr w:rsidR="00212C81" w:rsidRPr="003A4001" w14:paraId="5F987885" w14:textId="77777777" w:rsidTr="6EC16D71">
        <w:trPr>
          <w:cantSplit/>
          <w:trHeight w:val="397"/>
        </w:trPr>
        <w:tc>
          <w:tcPr>
            <w:tcW w:w="2644" w:type="dxa"/>
            <w:vAlign w:val="center"/>
          </w:tcPr>
          <w:p w14:paraId="4C96C705" w14:textId="77777777" w:rsidR="00212C81" w:rsidRPr="003A4001" w:rsidRDefault="00212C81" w:rsidP="002871DB">
            <w:pPr>
              <w:rPr>
                <w:b/>
                <w:sz w:val="20"/>
                <w:szCs w:val="20"/>
              </w:rPr>
            </w:pPr>
            <w:r w:rsidRPr="003A4001">
              <w:rPr>
                <w:b/>
                <w:sz w:val="20"/>
                <w:szCs w:val="20"/>
              </w:rPr>
              <w:t>Date of issue:</w:t>
            </w:r>
          </w:p>
        </w:tc>
        <w:tc>
          <w:tcPr>
            <w:tcW w:w="7846" w:type="dxa"/>
            <w:vAlign w:val="center"/>
          </w:tcPr>
          <w:p w14:paraId="4F5DE148" w14:textId="179917B4" w:rsidR="00212C81" w:rsidRPr="003A4001" w:rsidRDefault="00BE43F9" w:rsidP="002871DB">
            <w:pPr>
              <w:rPr>
                <w:sz w:val="20"/>
                <w:szCs w:val="20"/>
              </w:rPr>
            </w:pPr>
            <w:r w:rsidRPr="003A4001">
              <w:rPr>
                <w:sz w:val="20"/>
                <w:szCs w:val="20"/>
              </w:rPr>
              <w:t>September 2025</w:t>
            </w:r>
          </w:p>
        </w:tc>
      </w:tr>
      <w:tr w:rsidR="00755FD0" w:rsidRPr="003A4001" w14:paraId="63B94B22" w14:textId="77777777" w:rsidTr="6EC16D71">
        <w:trPr>
          <w:cantSplit/>
          <w:trHeight w:val="397"/>
        </w:trPr>
        <w:tc>
          <w:tcPr>
            <w:tcW w:w="2644" w:type="dxa"/>
            <w:vAlign w:val="center"/>
          </w:tcPr>
          <w:p w14:paraId="445255E8" w14:textId="77777777" w:rsidR="00755FD0" w:rsidRPr="003A4001" w:rsidRDefault="00755FD0" w:rsidP="002871DB">
            <w:pPr>
              <w:rPr>
                <w:b/>
                <w:sz w:val="20"/>
                <w:szCs w:val="20"/>
              </w:rPr>
            </w:pPr>
          </w:p>
        </w:tc>
        <w:tc>
          <w:tcPr>
            <w:tcW w:w="7846" w:type="dxa"/>
            <w:vAlign w:val="center"/>
          </w:tcPr>
          <w:p w14:paraId="25B67528" w14:textId="77777777" w:rsidR="00755FD0" w:rsidRPr="003A4001" w:rsidRDefault="00755FD0" w:rsidP="002871DB">
            <w:pPr>
              <w:rPr>
                <w:sz w:val="20"/>
                <w:szCs w:val="20"/>
              </w:rPr>
            </w:pPr>
          </w:p>
        </w:tc>
      </w:tr>
    </w:tbl>
    <w:tbl>
      <w:tblPr>
        <w:tblStyle w:val="LightList-Accent6"/>
        <w:tblW w:w="10534" w:type="dxa"/>
        <w:tblInd w:w="-772" w:type="dxa"/>
        <w:tblLayout w:type="fixed"/>
        <w:tblCellMar>
          <w:top w:w="57" w:type="dxa"/>
          <w:bottom w:w="57" w:type="dxa"/>
        </w:tblCellMar>
        <w:tblLook w:val="04A0" w:firstRow="1" w:lastRow="0" w:firstColumn="1" w:lastColumn="0" w:noHBand="0" w:noVBand="1"/>
      </w:tblPr>
      <w:tblGrid>
        <w:gridCol w:w="10534"/>
      </w:tblGrid>
      <w:tr w:rsidR="00212C81" w:rsidRPr="003A4001" w14:paraId="2CB25F77" w14:textId="77777777" w:rsidTr="6EC16D7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34" w:type="dxa"/>
            <w:tcBorders>
              <w:top w:val="nil"/>
              <w:left w:val="single" w:sz="4" w:space="0" w:color="32549C"/>
              <w:bottom w:val="single" w:sz="4" w:space="0" w:color="32549C"/>
              <w:right w:val="single" w:sz="4" w:space="0" w:color="32549C"/>
            </w:tcBorders>
            <w:shd w:val="clear" w:color="auto" w:fill="008577"/>
            <w:vAlign w:val="center"/>
          </w:tcPr>
          <w:p w14:paraId="236D21B2" w14:textId="77777777" w:rsidR="00212C81" w:rsidRPr="003A4001" w:rsidRDefault="00212C81" w:rsidP="00845AB2">
            <w:pPr>
              <w:spacing w:after="100" w:afterAutospacing="1"/>
              <w:rPr>
                <w:b w:val="0"/>
                <w:bCs w:val="0"/>
                <w:sz w:val="20"/>
                <w:szCs w:val="20"/>
              </w:rPr>
            </w:pPr>
            <w:r w:rsidRPr="003A4001">
              <w:rPr>
                <w:b w:val="0"/>
                <w:bCs w:val="0"/>
                <w:sz w:val="20"/>
                <w:szCs w:val="20"/>
              </w:rPr>
              <w:t>Job context</w:t>
            </w:r>
          </w:p>
        </w:tc>
      </w:tr>
      <w:tr w:rsidR="00212C81" w:rsidRPr="003A4001" w14:paraId="4565E987" w14:textId="77777777" w:rsidTr="6EC16D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34" w:type="dxa"/>
            <w:tcBorders>
              <w:top w:val="single" w:sz="4" w:space="0" w:color="32549C"/>
              <w:left w:val="single" w:sz="4" w:space="0" w:color="32549C"/>
              <w:bottom w:val="single" w:sz="4" w:space="0" w:color="32549C"/>
              <w:right w:val="single" w:sz="4" w:space="0" w:color="32549C"/>
            </w:tcBorders>
            <w:vAlign w:val="center"/>
          </w:tcPr>
          <w:p w14:paraId="4DA5ABC9" w14:textId="77777777" w:rsidR="00747208" w:rsidRPr="00600753" w:rsidRDefault="004E1230" w:rsidP="00747208">
            <w:pPr>
              <w:rPr>
                <w:b w:val="0"/>
                <w:sz w:val="20"/>
                <w:szCs w:val="20"/>
              </w:rPr>
            </w:pPr>
            <w:r w:rsidRPr="004B2EE8">
              <w:rPr>
                <w:b w:val="0"/>
                <w:sz w:val="20"/>
                <w:szCs w:val="20"/>
              </w:rPr>
              <w:t xml:space="preserve">York and North Yorkshire Combined Authority (the Combined Authority) is a public sector employer with access to </w:t>
            </w:r>
            <w:r w:rsidRPr="00600753">
              <w:rPr>
                <w:b w:val="0"/>
                <w:sz w:val="20"/>
                <w:szCs w:val="20"/>
              </w:rPr>
              <w:t>powers and funding to unlock transport and housing improvements, boost skills provision and help the economy transition to net zero. Making the most of the combined strengths of the city region and rural powerhouse, the Combined Authority is a long-term commitment to shaping a brighter future for generations to come. By working for us you will play a part in making positive changes, unlocking investment, supporting business and communities to thrive, and creating new and better opportunities for people that live and work here.</w:t>
            </w:r>
            <w:r w:rsidRPr="00600753">
              <w:rPr>
                <w:bCs w:val="0"/>
                <w:sz w:val="20"/>
                <w:szCs w:val="20"/>
              </w:rPr>
              <w:t> </w:t>
            </w:r>
          </w:p>
          <w:p w14:paraId="2AA1E454" w14:textId="0BBFA5A6" w:rsidR="0091612C" w:rsidRPr="00600753" w:rsidRDefault="0091612C" w:rsidP="6EC16D71">
            <w:pPr>
              <w:rPr>
                <w:rFonts w:eastAsia="Arial"/>
                <w:sz w:val="20"/>
                <w:szCs w:val="20"/>
              </w:rPr>
            </w:pPr>
            <w:r w:rsidRPr="00600753">
              <w:rPr>
                <w:b w:val="0"/>
                <w:bCs w:val="0"/>
                <w:sz w:val="20"/>
                <w:szCs w:val="20"/>
              </w:rPr>
              <w:t xml:space="preserve">The Head of Assurance </w:t>
            </w:r>
            <w:r w:rsidR="00BD0064" w:rsidRPr="00600753">
              <w:rPr>
                <w:b w:val="0"/>
                <w:bCs w:val="0"/>
                <w:sz w:val="20"/>
                <w:szCs w:val="20"/>
              </w:rPr>
              <w:t>is</w:t>
            </w:r>
            <w:r w:rsidRPr="00600753">
              <w:rPr>
                <w:b w:val="0"/>
                <w:bCs w:val="0"/>
                <w:sz w:val="20"/>
                <w:szCs w:val="20"/>
              </w:rPr>
              <w:t xml:space="preserve"> a critical strategic role in ensuring the Combined Authority operates with integrity, transparency, and accountability. This </w:t>
            </w:r>
            <w:r w:rsidR="00BD0064" w:rsidRPr="00600753">
              <w:rPr>
                <w:b w:val="0"/>
                <w:bCs w:val="0"/>
                <w:sz w:val="20"/>
                <w:szCs w:val="20"/>
              </w:rPr>
              <w:t>postholder, reporting to the Director of Resources,</w:t>
            </w:r>
            <w:r w:rsidRPr="00600753">
              <w:rPr>
                <w:b w:val="0"/>
                <w:bCs w:val="0"/>
                <w:sz w:val="20"/>
                <w:szCs w:val="20"/>
              </w:rPr>
              <w:t xml:space="preserve"> </w:t>
            </w:r>
            <w:r w:rsidR="00BD0064" w:rsidRPr="00600753">
              <w:rPr>
                <w:b w:val="0"/>
                <w:bCs w:val="0"/>
                <w:sz w:val="20"/>
                <w:szCs w:val="20"/>
              </w:rPr>
              <w:t xml:space="preserve">will </w:t>
            </w:r>
            <w:r w:rsidRPr="00600753">
              <w:rPr>
                <w:b w:val="0"/>
                <w:bCs w:val="0"/>
                <w:sz w:val="20"/>
                <w:szCs w:val="20"/>
              </w:rPr>
              <w:t>lead the development and delivery of assurance frameworks that support effective governance, risk management, and programme delivery across the Economy</w:t>
            </w:r>
            <w:r w:rsidR="0C5D7D41" w:rsidRPr="00600753">
              <w:rPr>
                <w:b w:val="0"/>
                <w:bCs w:val="0"/>
                <w:sz w:val="20"/>
                <w:szCs w:val="20"/>
              </w:rPr>
              <w:t>, Transport and Central Services</w:t>
            </w:r>
            <w:r w:rsidRPr="00600753">
              <w:rPr>
                <w:b w:val="0"/>
                <w:bCs w:val="0"/>
                <w:sz w:val="20"/>
                <w:szCs w:val="20"/>
              </w:rPr>
              <w:t xml:space="preserve"> Directorate</w:t>
            </w:r>
            <w:r w:rsidR="591FDEDB" w:rsidRPr="00600753">
              <w:rPr>
                <w:b w:val="0"/>
                <w:bCs w:val="0"/>
                <w:sz w:val="20"/>
                <w:szCs w:val="20"/>
              </w:rPr>
              <w:t>s</w:t>
            </w:r>
            <w:r w:rsidR="463C5771" w:rsidRPr="00600753">
              <w:rPr>
                <w:b w:val="0"/>
                <w:bCs w:val="0"/>
                <w:sz w:val="20"/>
                <w:szCs w:val="20"/>
              </w:rPr>
              <w:t xml:space="preserve"> and working with parallel resources across the organisation for a consistent approach</w:t>
            </w:r>
            <w:r w:rsidRPr="00600753">
              <w:rPr>
                <w:b w:val="0"/>
                <w:bCs w:val="0"/>
                <w:sz w:val="20"/>
                <w:szCs w:val="20"/>
              </w:rPr>
              <w:t xml:space="preserve">. Working closely with senior leaders, partners, and stakeholders, the postholder </w:t>
            </w:r>
            <w:r w:rsidR="00382925" w:rsidRPr="00600753">
              <w:rPr>
                <w:b w:val="0"/>
                <w:bCs w:val="0"/>
                <w:sz w:val="20"/>
                <w:szCs w:val="20"/>
              </w:rPr>
              <w:t>will ensure</w:t>
            </w:r>
            <w:r w:rsidRPr="00600753">
              <w:rPr>
                <w:b w:val="0"/>
                <w:bCs w:val="0"/>
                <w:sz w:val="20"/>
                <w:szCs w:val="20"/>
              </w:rPr>
              <w:t xml:space="preserve"> that assurance activities enable public value, continuous improvement, and confidence in the Authority’s operations.</w:t>
            </w:r>
            <w:r w:rsidR="0825FD73" w:rsidRPr="00600753">
              <w:rPr>
                <w:sz w:val="20"/>
                <w:szCs w:val="20"/>
              </w:rPr>
              <w:t xml:space="preserve"> </w:t>
            </w:r>
            <w:r w:rsidR="0825FD73" w:rsidRPr="00600753">
              <w:rPr>
                <w:rFonts w:eastAsia="Arial"/>
                <w:b w:val="0"/>
                <w:bCs w:val="0"/>
                <w:sz w:val="20"/>
                <w:szCs w:val="20"/>
              </w:rPr>
              <w:t>Providing expert advice to senior leadership and committees on risk, and assurance matters</w:t>
            </w:r>
            <w:r w:rsidR="0676C8D6" w:rsidRPr="00600753">
              <w:rPr>
                <w:rFonts w:eastAsia="Arial"/>
                <w:b w:val="0"/>
                <w:bCs w:val="0"/>
                <w:sz w:val="20"/>
                <w:szCs w:val="20"/>
              </w:rPr>
              <w:t>, whilst overseeing the internal audit programme and ensure timely implementation of recommendations.</w:t>
            </w:r>
          </w:p>
          <w:p w14:paraId="511C954E" w14:textId="0419BB37" w:rsidR="00ED4D8C" w:rsidRPr="00600753" w:rsidRDefault="00FE550E" w:rsidP="6EC16D71">
            <w:pPr>
              <w:rPr>
                <w:rFonts w:eastAsia="Arial"/>
                <w:sz w:val="20"/>
                <w:szCs w:val="20"/>
              </w:rPr>
            </w:pPr>
            <w:r w:rsidRPr="00600753">
              <w:rPr>
                <w:b w:val="0"/>
                <w:bCs w:val="0"/>
                <w:sz w:val="20"/>
                <w:szCs w:val="20"/>
              </w:rPr>
              <w:t xml:space="preserve">You will be </w:t>
            </w:r>
            <w:r w:rsidR="007348E0" w:rsidRPr="00600753">
              <w:rPr>
                <w:b w:val="0"/>
                <w:bCs w:val="0"/>
                <w:sz w:val="20"/>
                <w:szCs w:val="20"/>
              </w:rPr>
              <w:t>responsible</w:t>
            </w:r>
            <w:r w:rsidRPr="00600753">
              <w:rPr>
                <w:b w:val="0"/>
                <w:bCs w:val="0"/>
                <w:sz w:val="20"/>
                <w:szCs w:val="20"/>
              </w:rPr>
              <w:t xml:space="preserve"> for </w:t>
            </w:r>
            <w:r w:rsidR="007348E0" w:rsidRPr="00600753">
              <w:rPr>
                <w:b w:val="0"/>
                <w:bCs w:val="0"/>
                <w:sz w:val="20"/>
                <w:szCs w:val="20"/>
              </w:rPr>
              <w:t>the</w:t>
            </w:r>
            <w:r w:rsidRPr="00600753">
              <w:rPr>
                <w:b w:val="0"/>
                <w:bCs w:val="0"/>
                <w:sz w:val="20"/>
                <w:szCs w:val="20"/>
              </w:rPr>
              <w:t xml:space="preserve"> </w:t>
            </w:r>
            <w:r w:rsidR="00116B4E" w:rsidRPr="00600753">
              <w:rPr>
                <w:b w:val="0"/>
                <w:bCs w:val="0"/>
                <w:sz w:val="20"/>
                <w:szCs w:val="20"/>
              </w:rPr>
              <w:t>programme assurance function</w:t>
            </w:r>
            <w:r w:rsidR="00BD0064" w:rsidRPr="00600753">
              <w:rPr>
                <w:b w:val="0"/>
                <w:bCs w:val="0"/>
                <w:sz w:val="20"/>
                <w:szCs w:val="20"/>
              </w:rPr>
              <w:t>,</w:t>
            </w:r>
            <w:r w:rsidR="00116B4E" w:rsidRPr="00600753">
              <w:rPr>
                <w:b w:val="0"/>
                <w:bCs w:val="0"/>
                <w:sz w:val="20"/>
                <w:szCs w:val="20"/>
              </w:rPr>
              <w:t xml:space="preserve"> includ</w:t>
            </w:r>
            <w:r w:rsidR="00BD0064" w:rsidRPr="00600753">
              <w:rPr>
                <w:b w:val="0"/>
                <w:bCs w:val="0"/>
                <w:sz w:val="20"/>
                <w:szCs w:val="20"/>
              </w:rPr>
              <w:t>ing</w:t>
            </w:r>
            <w:r w:rsidR="00116B4E" w:rsidRPr="00600753">
              <w:rPr>
                <w:b w:val="0"/>
                <w:bCs w:val="0"/>
                <w:sz w:val="20"/>
                <w:szCs w:val="20"/>
              </w:rPr>
              <w:t xml:space="preserve"> </w:t>
            </w:r>
            <w:r w:rsidR="00BD0064" w:rsidRPr="00600753">
              <w:rPr>
                <w:b w:val="0"/>
                <w:bCs w:val="0"/>
                <w:sz w:val="20"/>
                <w:szCs w:val="20"/>
              </w:rPr>
              <w:t xml:space="preserve">further </w:t>
            </w:r>
            <w:r w:rsidR="00116B4E" w:rsidRPr="00600753">
              <w:rPr>
                <w:b w:val="0"/>
                <w:bCs w:val="0"/>
                <w:sz w:val="20"/>
                <w:szCs w:val="20"/>
              </w:rPr>
              <w:t>develop</w:t>
            </w:r>
            <w:r w:rsidR="00BD0064" w:rsidRPr="00600753">
              <w:rPr>
                <w:b w:val="0"/>
                <w:bCs w:val="0"/>
                <w:sz w:val="20"/>
                <w:szCs w:val="20"/>
              </w:rPr>
              <w:t>ment of</w:t>
            </w:r>
            <w:r w:rsidR="00116B4E" w:rsidRPr="00600753">
              <w:rPr>
                <w:b w:val="0"/>
                <w:bCs w:val="0"/>
                <w:sz w:val="20"/>
                <w:szCs w:val="20"/>
              </w:rPr>
              <w:t xml:space="preserve"> policies, processes, methodologies </w:t>
            </w:r>
            <w:r w:rsidR="007348E0" w:rsidRPr="00600753">
              <w:rPr>
                <w:b w:val="0"/>
                <w:bCs w:val="0"/>
                <w:sz w:val="20"/>
                <w:szCs w:val="20"/>
              </w:rPr>
              <w:t xml:space="preserve">and tools to be rolled out successfully across existing and future </w:t>
            </w:r>
            <w:r w:rsidR="005D1D1A" w:rsidRPr="00600753">
              <w:rPr>
                <w:b w:val="0"/>
                <w:bCs w:val="0"/>
                <w:sz w:val="20"/>
                <w:szCs w:val="20"/>
              </w:rPr>
              <w:t xml:space="preserve">programmes, offering impartial, expert guidance and </w:t>
            </w:r>
            <w:r w:rsidR="009C4E2E" w:rsidRPr="00600753">
              <w:rPr>
                <w:b w:val="0"/>
                <w:bCs w:val="0"/>
                <w:sz w:val="20"/>
                <w:szCs w:val="20"/>
              </w:rPr>
              <w:t xml:space="preserve">support aimed at enabling delivery of the agreed business outcomes. </w:t>
            </w:r>
            <w:r w:rsidR="1BE090BD" w:rsidRPr="00600753">
              <w:rPr>
                <w:rFonts w:eastAsia="Arial"/>
                <w:b w:val="0"/>
                <w:bCs w:val="0"/>
                <w:sz w:val="20"/>
                <w:szCs w:val="20"/>
              </w:rPr>
              <w:t>Embedding assurance processes into major investments, funding streams, and transformation programmes.</w:t>
            </w:r>
          </w:p>
          <w:p w14:paraId="6BBB31D2" w14:textId="76F5E0B9" w:rsidR="00ED4D8C" w:rsidRPr="00600753" w:rsidRDefault="00BD0064" w:rsidP="6EC16D71">
            <w:pPr>
              <w:rPr>
                <w:rFonts w:eastAsia="Arial"/>
                <w:sz w:val="20"/>
                <w:szCs w:val="20"/>
              </w:rPr>
            </w:pPr>
            <w:r w:rsidRPr="00600753">
              <w:rPr>
                <w:b w:val="0"/>
                <w:bCs w:val="0"/>
                <w:sz w:val="20"/>
                <w:szCs w:val="20"/>
              </w:rPr>
              <w:t>You will provide</w:t>
            </w:r>
            <w:r w:rsidR="00FE2A33" w:rsidRPr="00600753">
              <w:rPr>
                <w:b w:val="0"/>
                <w:bCs w:val="0"/>
                <w:sz w:val="20"/>
                <w:szCs w:val="20"/>
              </w:rPr>
              <w:t xml:space="preserve"> leadership and act as a subject matter expert for assurance to senior leaders across the Authority and the Mayor</w:t>
            </w:r>
            <w:r w:rsidR="5ED519AA" w:rsidRPr="00600753">
              <w:rPr>
                <w:b w:val="0"/>
                <w:bCs w:val="0"/>
                <w:sz w:val="20"/>
                <w:szCs w:val="20"/>
              </w:rPr>
              <w:t xml:space="preserve">, </w:t>
            </w:r>
            <w:r w:rsidR="5ED519AA" w:rsidRPr="00600753">
              <w:rPr>
                <w:rFonts w:eastAsia="Arial"/>
                <w:b w:val="0"/>
                <w:bCs w:val="0"/>
                <w:sz w:val="20"/>
                <w:szCs w:val="20"/>
              </w:rPr>
              <w:t>on performance trends, risks, and opportunities for improvement.</w:t>
            </w:r>
          </w:p>
          <w:p w14:paraId="2156C5F1" w14:textId="0E77E6FA" w:rsidR="00ED4D8C" w:rsidRPr="004B2EE8" w:rsidRDefault="0067139E" w:rsidP="6EC16D71">
            <w:pPr>
              <w:rPr>
                <w:b w:val="0"/>
                <w:bCs w:val="0"/>
                <w:sz w:val="20"/>
                <w:szCs w:val="20"/>
              </w:rPr>
            </w:pPr>
            <w:r w:rsidRPr="6EC16D71">
              <w:rPr>
                <w:b w:val="0"/>
                <w:bCs w:val="0"/>
                <w:sz w:val="20"/>
                <w:szCs w:val="20"/>
              </w:rPr>
              <w:lastRenderedPageBreak/>
              <w:t>The k</w:t>
            </w:r>
            <w:r w:rsidR="00ED4D8C" w:rsidRPr="6EC16D71">
              <w:rPr>
                <w:b w:val="0"/>
                <w:bCs w:val="0"/>
                <w:sz w:val="20"/>
                <w:szCs w:val="20"/>
              </w:rPr>
              <w:t xml:space="preserve">ey </w:t>
            </w:r>
            <w:r w:rsidRPr="6EC16D71">
              <w:rPr>
                <w:b w:val="0"/>
                <w:bCs w:val="0"/>
                <w:sz w:val="20"/>
                <w:szCs w:val="20"/>
              </w:rPr>
              <w:t>r</w:t>
            </w:r>
            <w:r w:rsidR="00ED4D8C" w:rsidRPr="6EC16D71">
              <w:rPr>
                <w:b w:val="0"/>
                <w:bCs w:val="0"/>
                <w:sz w:val="20"/>
                <w:szCs w:val="20"/>
              </w:rPr>
              <w:t xml:space="preserve">esponsibilities </w:t>
            </w:r>
            <w:r w:rsidRPr="6EC16D71">
              <w:rPr>
                <w:b w:val="0"/>
                <w:bCs w:val="0"/>
                <w:sz w:val="20"/>
                <w:szCs w:val="20"/>
              </w:rPr>
              <w:t xml:space="preserve">for the </w:t>
            </w:r>
            <w:r w:rsidR="0017187C" w:rsidRPr="6EC16D71">
              <w:rPr>
                <w:b w:val="0"/>
                <w:bCs w:val="0"/>
                <w:sz w:val="20"/>
                <w:szCs w:val="20"/>
              </w:rPr>
              <w:t>role include,</w:t>
            </w:r>
          </w:p>
          <w:p w14:paraId="18F47596" w14:textId="0E6B3317" w:rsidR="00ED4D8C" w:rsidRPr="004B2EE8" w:rsidRDefault="00ED4D8C" w:rsidP="00ED4D8C">
            <w:pPr>
              <w:rPr>
                <w:b w:val="0"/>
                <w:sz w:val="20"/>
                <w:szCs w:val="20"/>
              </w:rPr>
            </w:pPr>
            <w:r w:rsidRPr="004B2EE8">
              <w:rPr>
                <w:b w:val="0"/>
                <w:sz w:val="20"/>
                <w:szCs w:val="20"/>
              </w:rPr>
              <w:t>1. Strategic Leadership on Assurance, Risk, and Compliance</w:t>
            </w:r>
          </w:p>
          <w:p w14:paraId="0E17A4D6" w14:textId="77777777" w:rsidR="00ED4D8C" w:rsidRPr="004B2EE8" w:rsidRDefault="00ED4D8C" w:rsidP="00C7657A">
            <w:pPr>
              <w:pStyle w:val="ListParagraph"/>
              <w:numPr>
                <w:ilvl w:val="0"/>
                <w:numId w:val="9"/>
              </w:numPr>
              <w:rPr>
                <w:b w:val="0"/>
                <w:sz w:val="20"/>
                <w:szCs w:val="20"/>
              </w:rPr>
            </w:pPr>
            <w:r w:rsidRPr="004B2EE8">
              <w:rPr>
                <w:b w:val="0"/>
                <w:sz w:val="20"/>
                <w:szCs w:val="20"/>
              </w:rPr>
              <w:t>Develop and maintain a comprehensive assurance framework aligned with statutory obligations and strategic priorities.</w:t>
            </w:r>
          </w:p>
          <w:p w14:paraId="3C1B62CF" w14:textId="622636A5" w:rsidR="00ED4D8C" w:rsidRPr="004B2EE8" w:rsidRDefault="00ED4D8C" w:rsidP="00C7657A">
            <w:pPr>
              <w:pStyle w:val="ListParagraph"/>
              <w:numPr>
                <w:ilvl w:val="0"/>
                <w:numId w:val="9"/>
              </w:numPr>
              <w:rPr>
                <w:b w:val="0"/>
                <w:sz w:val="20"/>
                <w:szCs w:val="20"/>
              </w:rPr>
            </w:pPr>
            <w:r w:rsidRPr="6EC16D71">
              <w:rPr>
                <w:b w:val="0"/>
                <w:bCs w:val="0"/>
                <w:sz w:val="20"/>
                <w:szCs w:val="20"/>
              </w:rPr>
              <w:t>Lead a risk management, and compliance function, ensuring integration across programmes and departments.</w:t>
            </w:r>
          </w:p>
          <w:p w14:paraId="6E04478F" w14:textId="395B9EB0" w:rsidR="001D03B4" w:rsidRPr="004B2EE8" w:rsidRDefault="001D03B4" w:rsidP="00C7657A">
            <w:pPr>
              <w:pStyle w:val="ListParagraph"/>
              <w:numPr>
                <w:ilvl w:val="0"/>
                <w:numId w:val="9"/>
              </w:numPr>
              <w:rPr>
                <w:b w:val="0"/>
                <w:sz w:val="20"/>
                <w:szCs w:val="20"/>
              </w:rPr>
            </w:pPr>
            <w:r w:rsidRPr="004B2EE8">
              <w:rPr>
                <w:b w:val="0"/>
                <w:sz w:val="20"/>
                <w:szCs w:val="20"/>
              </w:rPr>
              <w:t xml:space="preserve">Act as the Authority’s Assurance, Risk and Compliance </w:t>
            </w:r>
            <w:r w:rsidR="0038674E" w:rsidRPr="004B2EE8">
              <w:rPr>
                <w:b w:val="0"/>
                <w:sz w:val="20"/>
                <w:szCs w:val="20"/>
              </w:rPr>
              <w:t>champion in discussions and negotiations with Government around further devolution for the region</w:t>
            </w:r>
            <w:r w:rsidR="00E60F14" w:rsidRPr="004B2EE8">
              <w:rPr>
                <w:b w:val="0"/>
                <w:sz w:val="20"/>
                <w:szCs w:val="20"/>
              </w:rPr>
              <w:t>.</w:t>
            </w:r>
          </w:p>
          <w:p w14:paraId="2FB9D3A7" w14:textId="77777777" w:rsidR="00ED4D8C" w:rsidRPr="004B2EE8" w:rsidRDefault="00ED4D8C" w:rsidP="00ED4D8C">
            <w:pPr>
              <w:rPr>
                <w:b w:val="0"/>
                <w:sz w:val="20"/>
                <w:szCs w:val="20"/>
              </w:rPr>
            </w:pPr>
            <w:r w:rsidRPr="004B2EE8">
              <w:rPr>
                <w:b w:val="0"/>
                <w:sz w:val="20"/>
                <w:szCs w:val="20"/>
              </w:rPr>
              <w:t>2. Driving a Culture of Accountability and Continuous Improvement</w:t>
            </w:r>
          </w:p>
          <w:p w14:paraId="2AD63E32" w14:textId="77777777" w:rsidR="00ED4D8C" w:rsidRPr="004B2EE8" w:rsidRDefault="00ED4D8C" w:rsidP="00C7657A">
            <w:pPr>
              <w:pStyle w:val="ListParagraph"/>
              <w:numPr>
                <w:ilvl w:val="0"/>
                <w:numId w:val="10"/>
              </w:numPr>
              <w:rPr>
                <w:b w:val="0"/>
                <w:sz w:val="20"/>
                <w:szCs w:val="20"/>
              </w:rPr>
            </w:pPr>
            <w:r w:rsidRPr="004B2EE8">
              <w:rPr>
                <w:b w:val="0"/>
                <w:sz w:val="20"/>
                <w:szCs w:val="20"/>
              </w:rPr>
              <w:t>Promote best practice in assurance and performance management through training, guidance, and engagement.</w:t>
            </w:r>
          </w:p>
          <w:p w14:paraId="2BE7BC31" w14:textId="4402D120" w:rsidR="00ED4D8C" w:rsidRPr="004B2EE8" w:rsidRDefault="00ED4D8C" w:rsidP="00C7657A">
            <w:pPr>
              <w:pStyle w:val="ListParagraph"/>
              <w:numPr>
                <w:ilvl w:val="0"/>
                <w:numId w:val="10"/>
              </w:numPr>
              <w:rPr>
                <w:b w:val="0"/>
                <w:sz w:val="20"/>
                <w:szCs w:val="20"/>
              </w:rPr>
            </w:pPr>
            <w:r w:rsidRPr="004B2EE8">
              <w:rPr>
                <w:b w:val="0"/>
                <w:sz w:val="20"/>
                <w:szCs w:val="20"/>
              </w:rPr>
              <w:t>Identify and lead initiatives to strengthen internal controls and improve service delivery.</w:t>
            </w:r>
            <w:r w:rsidR="001B020A" w:rsidRPr="004B2EE8">
              <w:rPr>
                <w:b w:val="0"/>
                <w:sz w:val="20"/>
                <w:szCs w:val="20"/>
              </w:rPr>
              <w:t xml:space="preserve"> </w:t>
            </w:r>
            <w:r w:rsidRPr="004B2EE8">
              <w:rPr>
                <w:b w:val="0"/>
                <w:sz w:val="20"/>
                <w:szCs w:val="20"/>
              </w:rPr>
              <w:t>Monitor and report on assurance performance indicators to support organisational learning.</w:t>
            </w:r>
          </w:p>
          <w:p w14:paraId="43485376" w14:textId="1D92DE73" w:rsidR="006C6033" w:rsidRPr="004B2EE8" w:rsidRDefault="006C6033" w:rsidP="00C7657A">
            <w:pPr>
              <w:pStyle w:val="ListParagraph"/>
              <w:numPr>
                <w:ilvl w:val="0"/>
                <w:numId w:val="10"/>
              </w:numPr>
              <w:rPr>
                <w:b w:val="0"/>
                <w:sz w:val="20"/>
                <w:szCs w:val="20"/>
              </w:rPr>
            </w:pPr>
            <w:r w:rsidRPr="004B2EE8">
              <w:rPr>
                <w:b w:val="0"/>
                <w:sz w:val="20"/>
                <w:szCs w:val="20"/>
              </w:rPr>
              <w:t>Champion transparency, ethical standards, and performance improvement by embedding assurance processes that promote learning, innovation, and accountability across programmes, partnerships, and service delivery.</w:t>
            </w:r>
          </w:p>
          <w:p w14:paraId="742B60A4" w14:textId="77777777" w:rsidR="00ED4D8C" w:rsidRPr="004B2EE8" w:rsidRDefault="00ED4D8C" w:rsidP="00ED4D8C">
            <w:pPr>
              <w:rPr>
                <w:b w:val="0"/>
                <w:sz w:val="20"/>
                <w:szCs w:val="20"/>
              </w:rPr>
            </w:pPr>
            <w:r w:rsidRPr="004B2EE8">
              <w:rPr>
                <w:b w:val="0"/>
                <w:sz w:val="20"/>
                <w:szCs w:val="20"/>
              </w:rPr>
              <w:t>3. Independent and Objective Oversight</w:t>
            </w:r>
          </w:p>
          <w:p w14:paraId="57007134" w14:textId="77777777" w:rsidR="00ED4D8C" w:rsidRPr="004B2EE8" w:rsidRDefault="00ED4D8C" w:rsidP="00C7657A">
            <w:pPr>
              <w:pStyle w:val="ListParagraph"/>
              <w:numPr>
                <w:ilvl w:val="0"/>
                <w:numId w:val="11"/>
              </w:numPr>
              <w:rPr>
                <w:b w:val="0"/>
                <w:sz w:val="20"/>
                <w:szCs w:val="20"/>
              </w:rPr>
            </w:pPr>
            <w:r w:rsidRPr="004B2EE8">
              <w:rPr>
                <w:b w:val="0"/>
                <w:sz w:val="20"/>
                <w:szCs w:val="20"/>
              </w:rPr>
              <w:t>Oversee the internal audit programme and ensure timely implementation of recommendations.</w:t>
            </w:r>
          </w:p>
          <w:p w14:paraId="7410E13D" w14:textId="151DDFDB" w:rsidR="00ED4D8C" w:rsidRPr="004B2EE8" w:rsidRDefault="00ED4D8C" w:rsidP="00C7657A">
            <w:pPr>
              <w:pStyle w:val="ListParagraph"/>
              <w:numPr>
                <w:ilvl w:val="0"/>
                <w:numId w:val="11"/>
              </w:numPr>
              <w:rPr>
                <w:b w:val="0"/>
                <w:bCs w:val="0"/>
                <w:sz w:val="20"/>
                <w:szCs w:val="20"/>
              </w:rPr>
            </w:pPr>
            <w:r w:rsidRPr="2EE8CBF9">
              <w:rPr>
                <w:b w:val="0"/>
                <w:bCs w:val="0"/>
                <w:sz w:val="20"/>
                <w:szCs w:val="20"/>
              </w:rPr>
              <w:t xml:space="preserve">Act as the liaison </w:t>
            </w:r>
            <w:r w:rsidR="39EB3B39" w:rsidRPr="2EE8CBF9">
              <w:rPr>
                <w:b w:val="0"/>
                <w:bCs w:val="0"/>
                <w:sz w:val="20"/>
                <w:szCs w:val="20"/>
              </w:rPr>
              <w:t xml:space="preserve">with internal </w:t>
            </w:r>
            <w:r w:rsidRPr="2EE8CBF9">
              <w:rPr>
                <w:b w:val="0"/>
                <w:bCs w:val="0"/>
                <w:sz w:val="20"/>
                <w:szCs w:val="20"/>
              </w:rPr>
              <w:t xml:space="preserve">auditors, </w:t>
            </w:r>
            <w:r w:rsidR="275FE81B" w:rsidRPr="2EE8CBF9">
              <w:rPr>
                <w:b w:val="0"/>
                <w:bCs w:val="0"/>
                <w:sz w:val="20"/>
                <w:szCs w:val="20"/>
              </w:rPr>
              <w:t xml:space="preserve">and in relation to assurance and performance matters with </w:t>
            </w:r>
            <w:r w:rsidRPr="2EE8CBF9">
              <w:rPr>
                <w:b w:val="0"/>
                <w:bCs w:val="0"/>
                <w:sz w:val="20"/>
                <w:szCs w:val="20"/>
              </w:rPr>
              <w:t>regulators, and funding bodies.</w:t>
            </w:r>
          </w:p>
          <w:p w14:paraId="02F627EF" w14:textId="32CBBF47" w:rsidR="002129CE" w:rsidRPr="00600753" w:rsidRDefault="002129CE" w:rsidP="00C7657A">
            <w:pPr>
              <w:pStyle w:val="ListParagraph"/>
              <w:numPr>
                <w:ilvl w:val="0"/>
                <w:numId w:val="11"/>
              </w:numPr>
              <w:rPr>
                <w:b w:val="0"/>
                <w:bCs w:val="0"/>
                <w:sz w:val="20"/>
                <w:szCs w:val="20"/>
              </w:rPr>
            </w:pPr>
            <w:r w:rsidRPr="6EC16D71">
              <w:rPr>
                <w:b w:val="0"/>
                <w:bCs w:val="0"/>
                <w:sz w:val="20"/>
                <w:szCs w:val="20"/>
              </w:rPr>
              <w:t xml:space="preserve">Deliver independent assurance to senior leadership, </w:t>
            </w:r>
            <w:r w:rsidR="006C6033" w:rsidRPr="6EC16D71">
              <w:rPr>
                <w:b w:val="0"/>
                <w:bCs w:val="0"/>
                <w:sz w:val="20"/>
                <w:szCs w:val="20"/>
              </w:rPr>
              <w:t>A</w:t>
            </w:r>
            <w:r w:rsidRPr="6EC16D71">
              <w:rPr>
                <w:b w:val="0"/>
                <w:bCs w:val="0"/>
                <w:sz w:val="20"/>
                <w:szCs w:val="20"/>
              </w:rPr>
              <w:t xml:space="preserve">udit </w:t>
            </w:r>
            <w:r w:rsidR="006C6033" w:rsidRPr="6EC16D71">
              <w:rPr>
                <w:b w:val="0"/>
                <w:bCs w:val="0"/>
                <w:sz w:val="20"/>
                <w:szCs w:val="20"/>
              </w:rPr>
              <w:t xml:space="preserve">and Governance </w:t>
            </w:r>
            <w:r w:rsidR="004B2EE8" w:rsidRPr="6EC16D71">
              <w:rPr>
                <w:b w:val="0"/>
                <w:bCs w:val="0"/>
                <w:sz w:val="20"/>
                <w:szCs w:val="20"/>
              </w:rPr>
              <w:t>C</w:t>
            </w:r>
            <w:r w:rsidRPr="6EC16D71">
              <w:rPr>
                <w:b w:val="0"/>
                <w:bCs w:val="0"/>
                <w:sz w:val="20"/>
                <w:szCs w:val="20"/>
              </w:rPr>
              <w:t xml:space="preserve">ommittee, and stakeholders on </w:t>
            </w:r>
            <w:r w:rsidRPr="00600753">
              <w:rPr>
                <w:b w:val="0"/>
                <w:bCs w:val="0"/>
                <w:sz w:val="20"/>
                <w:szCs w:val="20"/>
              </w:rPr>
              <w:t>the effectiveness of internal controls, programme delivery, and risk mitigation strategies</w:t>
            </w:r>
            <w:r w:rsidR="49C972FC" w:rsidRPr="00600753">
              <w:rPr>
                <w:b w:val="0"/>
                <w:bCs w:val="0"/>
                <w:sz w:val="20"/>
                <w:szCs w:val="20"/>
              </w:rPr>
              <w:t xml:space="preserve">, </w:t>
            </w:r>
            <w:r w:rsidRPr="00600753">
              <w:rPr>
                <w:b w:val="0"/>
                <w:bCs w:val="0"/>
                <w:sz w:val="20"/>
                <w:szCs w:val="20"/>
              </w:rPr>
              <w:t>supporting confidence in the authority’s operations and investments.</w:t>
            </w:r>
          </w:p>
          <w:p w14:paraId="405BF05F" w14:textId="37A3B434" w:rsidR="00C23ED3" w:rsidRPr="00600753" w:rsidRDefault="00C23ED3" w:rsidP="00C7657A">
            <w:pPr>
              <w:pStyle w:val="ListParagraph"/>
              <w:numPr>
                <w:ilvl w:val="0"/>
                <w:numId w:val="11"/>
              </w:numPr>
              <w:rPr>
                <w:b w:val="0"/>
                <w:bCs w:val="0"/>
                <w:sz w:val="20"/>
                <w:szCs w:val="20"/>
              </w:rPr>
            </w:pPr>
            <w:r w:rsidRPr="00600753">
              <w:rPr>
                <w:b w:val="0"/>
                <w:bCs w:val="0"/>
                <w:sz w:val="20"/>
                <w:szCs w:val="20"/>
              </w:rPr>
              <w:t xml:space="preserve">Support the Authority’s Annual Governance Review process and coordinate preparation of the Authority’s annual governance statement ensuring feedback in relation to audit outcomes, internal control and process reviews and other relevant feedback is </w:t>
            </w:r>
            <w:r w:rsidR="00E670CC" w:rsidRPr="00600753">
              <w:rPr>
                <w:b w:val="0"/>
                <w:bCs w:val="0"/>
                <w:sz w:val="20"/>
                <w:szCs w:val="20"/>
              </w:rPr>
              <w:t>captured across</w:t>
            </w:r>
            <w:r w:rsidRPr="00600753">
              <w:rPr>
                <w:b w:val="0"/>
                <w:bCs w:val="0"/>
                <w:sz w:val="20"/>
                <w:szCs w:val="20"/>
              </w:rPr>
              <w:t xml:space="preserve"> the Authority (Including Policing and Fire).</w:t>
            </w:r>
          </w:p>
          <w:p w14:paraId="32FAF19A" w14:textId="22056E7A" w:rsidR="00ED4D8C" w:rsidRPr="004B2EE8" w:rsidRDefault="00ED4D8C" w:rsidP="00ED4D8C">
            <w:pPr>
              <w:rPr>
                <w:b w:val="0"/>
                <w:sz w:val="20"/>
                <w:szCs w:val="20"/>
              </w:rPr>
            </w:pPr>
            <w:r w:rsidRPr="00600753">
              <w:rPr>
                <w:b w:val="0"/>
                <w:sz w:val="20"/>
                <w:szCs w:val="20"/>
              </w:rPr>
              <w:t xml:space="preserve">4. Supporting Strategic </w:t>
            </w:r>
            <w:r w:rsidRPr="004B2EE8">
              <w:rPr>
                <w:b w:val="0"/>
                <w:sz w:val="20"/>
                <w:szCs w:val="20"/>
              </w:rPr>
              <w:t>Programme Delivery and Public Value</w:t>
            </w:r>
          </w:p>
          <w:p w14:paraId="601364D4" w14:textId="77777777" w:rsidR="00ED4D8C" w:rsidRPr="004B2EE8" w:rsidRDefault="00ED4D8C" w:rsidP="00C7657A">
            <w:pPr>
              <w:pStyle w:val="ListParagraph"/>
              <w:numPr>
                <w:ilvl w:val="0"/>
                <w:numId w:val="12"/>
              </w:numPr>
              <w:rPr>
                <w:b w:val="0"/>
                <w:sz w:val="20"/>
                <w:szCs w:val="20"/>
              </w:rPr>
            </w:pPr>
            <w:r w:rsidRPr="004B2EE8">
              <w:rPr>
                <w:b w:val="0"/>
                <w:sz w:val="20"/>
                <w:szCs w:val="20"/>
              </w:rPr>
              <w:t>Embed assurance processes into major investments, funding streams, and transformation programmes.</w:t>
            </w:r>
          </w:p>
          <w:p w14:paraId="63100895" w14:textId="77777777" w:rsidR="00ED4D8C" w:rsidRPr="004B2EE8" w:rsidRDefault="00ED4D8C" w:rsidP="00C7657A">
            <w:pPr>
              <w:pStyle w:val="ListParagraph"/>
              <w:numPr>
                <w:ilvl w:val="0"/>
                <w:numId w:val="12"/>
              </w:numPr>
              <w:rPr>
                <w:b w:val="0"/>
                <w:sz w:val="20"/>
                <w:szCs w:val="20"/>
              </w:rPr>
            </w:pPr>
            <w:r w:rsidRPr="004B2EE8">
              <w:rPr>
                <w:b w:val="0"/>
                <w:sz w:val="20"/>
                <w:szCs w:val="20"/>
              </w:rPr>
              <w:t>Ensure assurance activities support transparency, value for money, and public trust.</w:t>
            </w:r>
          </w:p>
          <w:p w14:paraId="32AEA63D" w14:textId="5307FB59" w:rsidR="009804A2" w:rsidRPr="004B2EE8" w:rsidRDefault="002129CE" w:rsidP="00C7657A">
            <w:pPr>
              <w:pStyle w:val="ListParagraph"/>
              <w:numPr>
                <w:ilvl w:val="0"/>
                <w:numId w:val="12"/>
              </w:numPr>
              <w:rPr>
                <w:b w:val="0"/>
                <w:bCs w:val="0"/>
                <w:sz w:val="20"/>
                <w:szCs w:val="20"/>
              </w:rPr>
            </w:pPr>
            <w:r w:rsidRPr="6EC16D71">
              <w:rPr>
                <w:b w:val="0"/>
                <w:bCs w:val="0"/>
                <w:sz w:val="20"/>
                <w:szCs w:val="20"/>
              </w:rPr>
              <w:t>Work collaboratively across departments and with external partners to ensure assurance activities enable the successful delivery of strategic priorities, funding programmes, and public service</w:t>
            </w:r>
            <w:r w:rsidR="4F62E964" w:rsidRPr="6EC16D71">
              <w:rPr>
                <w:b w:val="0"/>
                <w:bCs w:val="0"/>
                <w:sz w:val="20"/>
                <w:szCs w:val="20"/>
              </w:rPr>
              <w:t xml:space="preserve">s, </w:t>
            </w:r>
            <w:r w:rsidRPr="6EC16D71">
              <w:rPr>
                <w:b w:val="0"/>
                <w:bCs w:val="0"/>
                <w:sz w:val="20"/>
                <w:szCs w:val="20"/>
              </w:rPr>
              <w:t>maximising impact and value for communities and the York and North Yorkshire region.</w:t>
            </w:r>
          </w:p>
          <w:p w14:paraId="20C1C5B8" w14:textId="00331DD8" w:rsidR="0038674E" w:rsidRPr="004B2EE8" w:rsidRDefault="0038674E" w:rsidP="00C7657A">
            <w:pPr>
              <w:pStyle w:val="ListParagraph"/>
              <w:numPr>
                <w:ilvl w:val="0"/>
                <w:numId w:val="12"/>
              </w:numPr>
              <w:rPr>
                <w:sz w:val="20"/>
                <w:szCs w:val="20"/>
              </w:rPr>
            </w:pPr>
            <w:r w:rsidRPr="004B2EE8">
              <w:rPr>
                <w:b w:val="0"/>
                <w:sz w:val="20"/>
                <w:szCs w:val="20"/>
              </w:rPr>
              <w:t>Deliver appraisals of programme and project business cases and ensure that appropriate due diligence is undertaken in relation to delivery partners funded by the Authorit</w:t>
            </w:r>
            <w:r w:rsidR="0063644A" w:rsidRPr="004B2EE8">
              <w:rPr>
                <w:b w:val="0"/>
                <w:sz w:val="20"/>
                <w:szCs w:val="20"/>
              </w:rPr>
              <w:t>y</w:t>
            </w:r>
            <w:r w:rsidR="004B2EE8" w:rsidRPr="004B2EE8">
              <w:rPr>
                <w:b w:val="0"/>
                <w:sz w:val="20"/>
                <w:szCs w:val="20"/>
              </w:rPr>
              <w:t>.</w:t>
            </w:r>
          </w:p>
          <w:p w14:paraId="2BB44662" w14:textId="440CA73C" w:rsidR="0063644A" w:rsidRPr="004B2EE8" w:rsidRDefault="0063644A" w:rsidP="00C7657A">
            <w:pPr>
              <w:pStyle w:val="ListParagraph"/>
              <w:numPr>
                <w:ilvl w:val="0"/>
                <w:numId w:val="12"/>
              </w:numPr>
              <w:rPr>
                <w:b w:val="0"/>
                <w:bCs w:val="0"/>
                <w:sz w:val="20"/>
                <w:szCs w:val="20"/>
              </w:rPr>
            </w:pPr>
            <w:r w:rsidRPr="004B2EE8">
              <w:rPr>
                <w:b w:val="0"/>
                <w:bCs w:val="0"/>
                <w:sz w:val="20"/>
                <w:szCs w:val="20"/>
              </w:rPr>
              <w:t>Lead the Authority in relation to internal programme assurance, ensuring that performance evidence, delivery milestones, and evaluation outputs are robust, auditable, and aligned with HM Treasury Green Book principles to support future gateway reviews and funding negotiations</w:t>
            </w:r>
            <w:r w:rsidR="004B2EE8" w:rsidRPr="004B2EE8">
              <w:rPr>
                <w:b w:val="0"/>
                <w:bCs w:val="0"/>
                <w:sz w:val="20"/>
                <w:szCs w:val="20"/>
              </w:rPr>
              <w:t>.</w:t>
            </w:r>
          </w:p>
          <w:p w14:paraId="68C92CD4" w14:textId="35EA7015" w:rsidR="0038674E" w:rsidRPr="00600753" w:rsidRDefault="0038674E" w:rsidP="0038674E">
            <w:pPr>
              <w:rPr>
                <w:bCs w:val="0"/>
                <w:sz w:val="20"/>
                <w:szCs w:val="20"/>
              </w:rPr>
            </w:pPr>
            <w:r w:rsidRPr="004B2EE8">
              <w:rPr>
                <w:b w:val="0"/>
                <w:sz w:val="20"/>
                <w:szCs w:val="20"/>
              </w:rPr>
              <w:t xml:space="preserve">4. </w:t>
            </w:r>
            <w:r w:rsidRPr="00600753">
              <w:rPr>
                <w:b w:val="0"/>
                <w:sz w:val="20"/>
                <w:szCs w:val="20"/>
              </w:rPr>
              <w:t>Organisational Performance Management</w:t>
            </w:r>
          </w:p>
          <w:p w14:paraId="1E5122D0" w14:textId="455A6634" w:rsidR="0038674E" w:rsidRPr="004B2EE8" w:rsidRDefault="0038674E" w:rsidP="00C7657A">
            <w:pPr>
              <w:pStyle w:val="ListParagraph"/>
              <w:numPr>
                <w:ilvl w:val="0"/>
                <w:numId w:val="9"/>
              </w:numPr>
              <w:rPr>
                <w:b w:val="0"/>
                <w:sz w:val="20"/>
                <w:szCs w:val="20"/>
              </w:rPr>
            </w:pPr>
            <w:r w:rsidRPr="00600753">
              <w:rPr>
                <w:b w:val="0"/>
                <w:sz w:val="20"/>
                <w:szCs w:val="20"/>
              </w:rPr>
              <w:t>Lead the</w:t>
            </w:r>
            <w:r w:rsidR="00C23ED3" w:rsidRPr="00600753">
              <w:rPr>
                <w:b w:val="0"/>
                <w:sz w:val="20"/>
                <w:szCs w:val="20"/>
              </w:rPr>
              <w:t xml:space="preserve"> ongoing</w:t>
            </w:r>
            <w:r w:rsidRPr="00600753">
              <w:rPr>
                <w:b w:val="0"/>
                <w:sz w:val="20"/>
                <w:szCs w:val="20"/>
              </w:rPr>
              <w:t xml:space="preserve"> development </w:t>
            </w:r>
            <w:r w:rsidRPr="004B2EE8">
              <w:rPr>
                <w:b w:val="0"/>
                <w:sz w:val="20"/>
                <w:szCs w:val="20"/>
              </w:rPr>
              <w:t>and implementation of a robust performance management framework aligned to the Combined Authority’s strategic priorities and statutory obligations.</w:t>
            </w:r>
          </w:p>
          <w:p w14:paraId="53F15973" w14:textId="416016A2" w:rsidR="0038674E" w:rsidRPr="004B2EE8" w:rsidRDefault="0038674E" w:rsidP="00C7657A">
            <w:pPr>
              <w:pStyle w:val="ListParagraph"/>
              <w:numPr>
                <w:ilvl w:val="0"/>
                <w:numId w:val="9"/>
              </w:numPr>
              <w:rPr>
                <w:b w:val="0"/>
                <w:sz w:val="20"/>
                <w:szCs w:val="20"/>
              </w:rPr>
            </w:pPr>
            <w:r w:rsidRPr="004B2EE8">
              <w:rPr>
                <w:b w:val="0"/>
                <w:sz w:val="20"/>
                <w:szCs w:val="20"/>
              </w:rPr>
              <w:t>Translate political and organisational objectives into measurable outcomes, KPIs, and delivery milestones across all service areas.</w:t>
            </w:r>
          </w:p>
          <w:p w14:paraId="28ABE318" w14:textId="78585701" w:rsidR="0038674E" w:rsidRPr="004B2EE8" w:rsidRDefault="0038674E" w:rsidP="00C7657A">
            <w:pPr>
              <w:pStyle w:val="ListParagraph"/>
              <w:numPr>
                <w:ilvl w:val="0"/>
                <w:numId w:val="9"/>
              </w:numPr>
              <w:rPr>
                <w:b w:val="0"/>
                <w:bCs w:val="0"/>
                <w:sz w:val="20"/>
                <w:szCs w:val="20"/>
              </w:rPr>
            </w:pPr>
            <w:r w:rsidRPr="6EC16D71">
              <w:rPr>
                <w:b w:val="0"/>
                <w:bCs w:val="0"/>
                <w:sz w:val="20"/>
                <w:szCs w:val="20"/>
              </w:rPr>
              <w:lastRenderedPageBreak/>
              <w:t xml:space="preserve">Advise senior leadership, elected members, and the </w:t>
            </w:r>
            <w:r w:rsidR="7DFD3918" w:rsidRPr="6EC16D71">
              <w:rPr>
                <w:b w:val="0"/>
                <w:bCs w:val="0"/>
                <w:sz w:val="20"/>
                <w:szCs w:val="20"/>
              </w:rPr>
              <w:t>mayor</w:t>
            </w:r>
            <w:r w:rsidRPr="6EC16D71">
              <w:rPr>
                <w:b w:val="0"/>
                <w:bCs w:val="0"/>
                <w:sz w:val="20"/>
                <w:szCs w:val="20"/>
              </w:rPr>
              <w:t xml:space="preserve"> on performance trends, risks, and opportunities for improvement.</w:t>
            </w:r>
          </w:p>
          <w:p w14:paraId="1A173EAF" w14:textId="1B3594C2" w:rsidR="0038674E" w:rsidRPr="004B2EE8" w:rsidRDefault="0038674E" w:rsidP="00C7657A">
            <w:pPr>
              <w:pStyle w:val="ListParagraph"/>
              <w:numPr>
                <w:ilvl w:val="0"/>
                <w:numId w:val="9"/>
              </w:numPr>
              <w:rPr>
                <w:b w:val="0"/>
                <w:sz w:val="20"/>
                <w:szCs w:val="20"/>
              </w:rPr>
            </w:pPr>
            <w:r w:rsidRPr="004B2EE8">
              <w:rPr>
                <w:b w:val="0"/>
                <w:sz w:val="20"/>
                <w:szCs w:val="20"/>
              </w:rPr>
              <w:t>Ensure timely, accurate, and insightful performance reporting to support decision-making, scrutiny, and public accountability.</w:t>
            </w:r>
          </w:p>
          <w:p w14:paraId="3DC646F0" w14:textId="0925A2E8" w:rsidR="0038674E" w:rsidRPr="004B2EE8" w:rsidRDefault="0063644A" w:rsidP="00E56731">
            <w:pPr>
              <w:pStyle w:val="ListParagraph"/>
              <w:numPr>
                <w:ilvl w:val="0"/>
                <w:numId w:val="9"/>
              </w:numPr>
              <w:rPr>
                <w:b w:val="0"/>
                <w:bCs w:val="0"/>
                <w:sz w:val="20"/>
                <w:szCs w:val="20"/>
              </w:rPr>
            </w:pPr>
            <w:r w:rsidRPr="004B2EE8">
              <w:rPr>
                <w:b w:val="0"/>
                <w:sz w:val="20"/>
                <w:szCs w:val="20"/>
              </w:rPr>
              <w:t>Lead the Authority’s strategic liaison with Government in relation to the Gateway Review process, ensuring timely submission of evidence, coordination of programme evaluations, and alignment with national investment assurance framework</w:t>
            </w:r>
          </w:p>
          <w:p w14:paraId="6956E396" w14:textId="4776DBD0" w:rsidR="0038674E" w:rsidRPr="004B2EE8" w:rsidRDefault="0038674E" w:rsidP="0D0BF320">
            <w:pPr>
              <w:rPr>
                <w:b w:val="0"/>
                <w:sz w:val="20"/>
                <w:szCs w:val="20"/>
              </w:rPr>
            </w:pPr>
          </w:p>
        </w:tc>
      </w:tr>
    </w:tbl>
    <w:p w14:paraId="05966CEE" w14:textId="261F1CB0" w:rsidR="00212C81" w:rsidRPr="003A4001" w:rsidRDefault="00B71CA1" w:rsidP="00212C81">
      <w:pPr>
        <w:rPr>
          <w:sz w:val="20"/>
          <w:szCs w:val="20"/>
        </w:rPr>
      </w:pPr>
      <w:r w:rsidRPr="003A4001">
        <w:rPr>
          <w:noProof/>
          <w:sz w:val="20"/>
          <w:szCs w:val="20"/>
          <w:lang w:eastAsia="en-GB"/>
        </w:rPr>
        <w:lastRenderedPageBreak/>
        <w:drawing>
          <wp:anchor distT="0" distB="0" distL="114300" distR="114300" simplePos="0" relativeHeight="251658240" behindDoc="0" locked="0" layoutInCell="1" allowOverlap="1" wp14:anchorId="4E5F0546" wp14:editId="1DB1A695">
            <wp:simplePos x="0" y="0"/>
            <wp:positionH relativeFrom="column">
              <wp:posOffset>-21590</wp:posOffset>
            </wp:positionH>
            <wp:positionV relativeFrom="paragraph">
              <wp:posOffset>800100</wp:posOffset>
            </wp:positionV>
            <wp:extent cx="5731510" cy="2641600"/>
            <wp:effectExtent l="0" t="0" r="0" b="2540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tbl>
      <w:tblPr>
        <w:tblStyle w:val="TableGrid"/>
        <w:tblpPr w:leftFromText="180" w:rightFromText="180" w:vertAnchor="text" w:tblpX="-709"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78"/>
      </w:tblGrid>
      <w:tr w:rsidR="00212C81" w:rsidRPr="003A4001" w14:paraId="2C92D2F1" w14:textId="77777777" w:rsidTr="000A0A91">
        <w:trPr>
          <w:cantSplit/>
          <w:trHeight w:val="397"/>
        </w:trPr>
        <w:tc>
          <w:tcPr>
            <w:tcW w:w="10490" w:type="dxa"/>
            <w:tcBorders>
              <w:top w:val="single" w:sz="4" w:space="0" w:color="009BB2"/>
              <w:left w:val="single" w:sz="4" w:space="0" w:color="009BB2"/>
              <w:bottom w:val="single" w:sz="4" w:space="0" w:color="009BB2"/>
              <w:right w:val="single" w:sz="4" w:space="0" w:color="009BB2"/>
            </w:tcBorders>
            <w:shd w:val="clear" w:color="auto" w:fill="008577"/>
            <w:vAlign w:val="center"/>
          </w:tcPr>
          <w:p w14:paraId="76DD8DB8" w14:textId="77777777" w:rsidR="00212C81" w:rsidRPr="00C326E1" w:rsidRDefault="00212C81" w:rsidP="00845AB2">
            <w:pPr>
              <w:spacing w:after="100" w:afterAutospacing="1"/>
              <w:rPr>
                <w:b/>
                <w:color w:val="44546A" w:themeColor="text2"/>
                <w:sz w:val="20"/>
                <w:szCs w:val="20"/>
              </w:rPr>
            </w:pPr>
            <w:r w:rsidRPr="00C326E1">
              <w:rPr>
                <w:b/>
                <w:color w:val="FFFFFF" w:themeColor="background1"/>
                <w:sz w:val="20"/>
                <w:szCs w:val="20"/>
              </w:rPr>
              <w:t>Structure</w:t>
            </w:r>
          </w:p>
        </w:tc>
      </w:tr>
    </w:tbl>
    <w:p w14:paraId="611AA5EE" w14:textId="056AEFA9" w:rsidR="4508AC44" w:rsidRDefault="4508AC44" w:rsidP="4508AC44">
      <w:pPr>
        <w:rPr>
          <w:sz w:val="20"/>
          <w:szCs w:val="20"/>
        </w:rPr>
      </w:pPr>
    </w:p>
    <w:p w14:paraId="3644D128" w14:textId="7A2EA904" w:rsidR="4508AC44" w:rsidRDefault="4508AC44" w:rsidP="4508AC44">
      <w:pPr>
        <w:rPr>
          <w:sz w:val="20"/>
          <w:szCs w:val="20"/>
        </w:rPr>
      </w:pPr>
    </w:p>
    <w:tbl>
      <w:tblPr>
        <w:tblStyle w:val="LightList-Accent1"/>
        <w:tblW w:w="10490" w:type="dxa"/>
        <w:tblInd w:w="-719" w:type="dxa"/>
        <w:tblBorders>
          <w:top w:val="single" w:sz="4" w:space="0" w:color="008577"/>
          <w:left w:val="single" w:sz="4" w:space="0" w:color="008577"/>
          <w:bottom w:val="single" w:sz="4" w:space="0" w:color="008577"/>
          <w:right w:val="single" w:sz="4" w:space="0" w:color="008577"/>
          <w:insideH w:val="single" w:sz="4" w:space="0" w:color="008577"/>
          <w:insideV w:val="single" w:sz="4" w:space="0" w:color="008577"/>
        </w:tblBorders>
        <w:tblCellMar>
          <w:top w:w="57" w:type="dxa"/>
          <w:bottom w:w="57" w:type="dxa"/>
        </w:tblCellMar>
        <w:tblLook w:val="04A0" w:firstRow="1" w:lastRow="0" w:firstColumn="1" w:lastColumn="0" w:noHBand="0" w:noVBand="1"/>
      </w:tblPr>
      <w:tblGrid>
        <w:gridCol w:w="3043"/>
        <w:gridCol w:w="7447"/>
      </w:tblGrid>
      <w:tr w:rsidR="00845AB2" w:rsidRPr="003A4001" w14:paraId="414E2488" w14:textId="77777777" w:rsidTr="52004F6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577"/>
            <w:vAlign w:val="center"/>
          </w:tcPr>
          <w:p w14:paraId="44851A48" w14:textId="042A320F" w:rsidR="00845AB2" w:rsidRPr="00C326E1" w:rsidRDefault="00845AB2" w:rsidP="00845AB2">
            <w:pPr>
              <w:rPr>
                <w:sz w:val="20"/>
                <w:szCs w:val="20"/>
              </w:rPr>
            </w:pPr>
            <w:r w:rsidRPr="00C326E1">
              <w:rPr>
                <w:sz w:val="20"/>
                <w:szCs w:val="20"/>
              </w:rPr>
              <w:t>Job Description</w:t>
            </w:r>
          </w:p>
        </w:tc>
      </w:tr>
      <w:tr w:rsidR="00845AB2" w:rsidRPr="003A4001" w14:paraId="0FD17813" w14:textId="77777777" w:rsidTr="52004F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shd w:val="clear" w:color="auto" w:fill="008577"/>
            <w:vAlign w:val="center"/>
          </w:tcPr>
          <w:p w14:paraId="35A98379" w14:textId="77777777" w:rsidR="00845AB2" w:rsidRPr="003A4001" w:rsidRDefault="00845AB2" w:rsidP="00845AB2">
            <w:pPr>
              <w:rPr>
                <w:color w:val="FFFFFF" w:themeColor="background1"/>
                <w:sz w:val="20"/>
                <w:szCs w:val="20"/>
              </w:rPr>
            </w:pPr>
            <w:r w:rsidRPr="003A4001">
              <w:rPr>
                <w:color w:val="FFFFFF" w:themeColor="background1"/>
                <w:sz w:val="20"/>
                <w:szCs w:val="20"/>
              </w:rPr>
              <w:t>Job purpose</w:t>
            </w:r>
          </w:p>
        </w:tc>
        <w:tc>
          <w:tcPr>
            <w:tcW w:w="7447" w:type="dxa"/>
            <w:tcBorders>
              <w:top w:val="none" w:sz="0" w:space="0" w:color="auto"/>
              <w:bottom w:val="none" w:sz="0" w:space="0" w:color="auto"/>
              <w:right w:val="none" w:sz="0" w:space="0" w:color="auto"/>
            </w:tcBorders>
            <w:shd w:val="clear" w:color="auto" w:fill="008577"/>
            <w:vAlign w:val="center"/>
          </w:tcPr>
          <w:p w14:paraId="5C38C295" w14:textId="550487DE" w:rsidR="0063644A" w:rsidRPr="00E60F14" w:rsidRDefault="00F832AD" w:rsidP="00C7657A">
            <w:pPr>
              <w:pStyle w:val="ListParagraph"/>
              <w:numPr>
                <w:ilvl w:val="0"/>
                <w:numId w:val="8"/>
              </w:numPr>
              <w:spacing w:after="0"/>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F832AD">
              <w:rPr>
                <w:b/>
                <w:bCs/>
                <w:color w:val="FFFFFF" w:themeColor="background1"/>
                <w:sz w:val="20"/>
                <w:szCs w:val="20"/>
              </w:rPr>
              <w:t>To l</w:t>
            </w:r>
            <w:r w:rsidR="009804A2" w:rsidRPr="00F832AD">
              <w:rPr>
                <w:b/>
                <w:bCs/>
                <w:color w:val="FFFFFF" w:themeColor="background1"/>
                <w:sz w:val="20"/>
                <w:szCs w:val="20"/>
              </w:rPr>
              <w:t>ead the development and implementation of robust assurance</w:t>
            </w:r>
            <w:r w:rsidR="0063644A">
              <w:rPr>
                <w:b/>
                <w:bCs/>
                <w:color w:val="FFFFFF" w:themeColor="background1"/>
                <w:sz w:val="20"/>
                <w:szCs w:val="20"/>
              </w:rPr>
              <w:t>, risk</w:t>
            </w:r>
            <w:r w:rsidR="009804A2" w:rsidRPr="00F832AD">
              <w:rPr>
                <w:b/>
                <w:bCs/>
                <w:color w:val="FFFFFF" w:themeColor="background1"/>
                <w:sz w:val="20"/>
                <w:szCs w:val="20"/>
              </w:rPr>
              <w:t xml:space="preserve"> </w:t>
            </w:r>
            <w:r w:rsidR="0063644A">
              <w:rPr>
                <w:b/>
                <w:bCs/>
                <w:color w:val="FFFFFF" w:themeColor="background1"/>
                <w:sz w:val="20"/>
                <w:szCs w:val="20"/>
              </w:rPr>
              <w:t xml:space="preserve">and performance management </w:t>
            </w:r>
            <w:r w:rsidR="009804A2" w:rsidRPr="00F832AD">
              <w:rPr>
                <w:b/>
                <w:bCs/>
                <w:color w:val="FFFFFF" w:themeColor="background1"/>
                <w:sz w:val="20"/>
                <w:szCs w:val="20"/>
              </w:rPr>
              <w:t>frameworks that support effective decision-making, risk management, and compliance across the authority.</w:t>
            </w:r>
          </w:p>
          <w:p w14:paraId="29F9D4EA" w14:textId="77777777" w:rsidR="00F832AD" w:rsidRPr="00F832AD" w:rsidRDefault="00F832AD" w:rsidP="00C7657A">
            <w:pPr>
              <w:pStyle w:val="ListParagraph"/>
              <w:numPr>
                <w:ilvl w:val="0"/>
                <w:numId w:val="8"/>
              </w:numPr>
              <w:spacing w:after="0"/>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F832AD">
              <w:rPr>
                <w:b/>
                <w:bCs/>
                <w:color w:val="FFFFFF" w:themeColor="background1"/>
                <w:sz w:val="20"/>
                <w:szCs w:val="20"/>
              </w:rPr>
              <w:t>To deliver independent assurance to senior leadership, audit committees, and stakeholders on the effectiveness of internal controls, programme delivery, and risk mitigation strategies.</w:t>
            </w:r>
          </w:p>
          <w:p w14:paraId="538BEE37" w14:textId="77777777" w:rsidR="00F832AD" w:rsidRDefault="00F832AD" w:rsidP="00C7657A">
            <w:pPr>
              <w:pStyle w:val="ListParagraph"/>
              <w:numPr>
                <w:ilvl w:val="0"/>
                <w:numId w:val="8"/>
              </w:numPr>
              <w:spacing w:after="0"/>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F832AD">
              <w:rPr>
                <w:b/>
                <w:bCs/>
                <w:color w:val="FFFFFF" w:themeColor="background1"/>
                <w:sz w:val="20"/>
                <w:szCs w:val="20"/>
              </w:rPr>
              <w:t xml:space="preserve">To drive a culture of accountability and continuous improvement. </w:t>
            </w:r>
          </w:p>
          <w:p w14:paraId="43257A4B" w14:textId="10DAFF4C" w:rsidR="0067139E" w:rsidRPr="00F832AD" w:rsidRDefault="0063644A" w:rsidP="00C7657A">
            <w:pPr>
              <w:pStyle w:val="ListParagraph"/>
              <w:numPr>
                <w:ilvl w:val="0"/>
                <w:numId w:val="8"/>
              </w:numPr>
              <w:spacing w:after="0"/>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Pr>
                <w:b/>
                <w:bCs/>
                <w:color w:val="FFFFFF" w:themeColor="background1"/>
                <w:sz w:val="20"/>
                <w:szCs w:val="20"/>
              </w:rPr>
              <w:t>To l</w:t>
            </w:r>
            <w:r w:rsidRPr="0063644A">
              <w:rPr>
                <w:b/>
                <w:bCs/>
                <w:color w:val="FFFFFF" w:themeColor="background1"/>
                <w:sz w:val="20"/>
                <w:szCs w:val="20"/>
              </w:rPr>
              <w:t>ead the Authority’s engagement with external</w:t>
            </w:r>
            <w:r>
              <w:rPr>
                <w:b/>
                <w:bCs/>
                <w:color w:val="FFFFFF" w:themeColor="background1"/>
                <w:sz w:val="20"/>
                <w:szCs w:val="20"/>
              </w:rPr>
              <w:t xml:space="preserve">ly led </w:t>
            </w:r>
            <w:r w:rsidRPr="0063644A">
              <w:rPr>
                <w:b/>
                <w:bCs/>
                <w:color w:val="FFFFFF" w:themeColor="background1"/>
                <w:sz w:val="20"/>
                <w:szCs w:val="20"/>
              </w:rPr>
              <w:t xml:space="preserve">performance reviews, including HM Government’s Gateway Review process and any </w:t>
            </w:r>
            <w:r>
              <w:rPr>
                <w:b/>
                <w:bCs/>
                <w:color w:val="FFFFFF" w:themeColor="background1"/>
                <w:sz w:val="20"/>
                <w:szCs w:val="20"/>
              </w:rPr>
              <w:t>reviews</w:t>
            </w:r>
            <w:r w:rsidRPr="0063644A">
              <w:rPr>
                <w:b/>
                <w:bCs/>
                <w:color w:val="FFFFFF" w:themeColor="background1"/>
                <w:sz w:val="20"/>
                <w:szCs w:val="20"/>
              </w:rPr>
              <w:t xml:space="preserve"> linked to </w:t>
            </w:r>
            <w:r>
              <w:rPr>
                <w:b/>
                <w:bCs/>
                <w:color w:val="FFFFFF" w:themeColor="background1"/>
                <w:sz w:val="20"/>
                <w:szCs w:val="20"/>
              </w:rPr>
              <w:t xml:space="preserve">further </w:t>
            </w:r>
            <w:r w:rsidRPr="0063644A">
              <w:rPr>
                <w:b/>
                <w:bCs/>
                <w:color w:val="FFFFFF" w:themeColor="background1"/>
                <w:sz w:val="20"/>
                <w:szCs w:val="20"/>
              </w:rPr>
              <w:t>future devolution</w:t>
            </w:r>
          </w:p>
        </w:tc>
      </w:tr>
      <w:tr w:rsidR="00845AB2" w:rsidRPr="003A4001" w14:paraId="3975EEF8" w14:textId="77777777" w:rsidTr="52004F64">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71F828CC" w14:textId="0CE35111" w:rsidR="00845AB2" w:rsidRPr="003A4001" w:rsidRDefault="00845AB2" w:rsidP="00845AB2">
            <w:pPr>
              <w:rPr>
                <w:b w:val="0"/>
                <w:bCs w:val="0"/>
                <w:sz w:val="20"/>
                <w:szCs w:val="20"/>
              </w:rPr>
            </w:pPr>
            <w:r w:rsidRPr="003A4001">
              <w:rPr>
                <w:sz w:val="20"/>
                <w:szCs w:val="20"/>
              </w:rPr>
              <w:t>Operational management</w:t>
            </w:r>
          </w:p>
        </w:tc>
        <w:tc>
          <w:tcPr>
            <w:tcW w:w="7447" w:type="dxa"/>
          </w:tcPr>
          <w:p w14:paraId="389935E5" w14:textId="4A0BA9F5" w:rsidR="000A2C64" w:rsidRPr="00600753" w:rsidRDefault="000A2C64" w:rsidP="00C7657A">
            <w:pPr>
              <w:pStyle w:val="ListParagraph"/>
              <w:numPr>
                <w:ilvl w:val="0"/>
                <w:numId w:val="6"/>
              </w:numPr>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Maintain and enhance the Combined Authority’s Assurance</w:t>
            </w:r>
            <w:r w:rsidR="0063644A" w:rsidRPr="00600753">
              <w:rPr>
                <w:rFonts w:eastAsia="Times New Roman"/>
                <w:sz w:val="20"/>
                <w:szCs w:val="20"/>
                <w:lang w:eastAsia="en-GB"/>
              </w:rPr>
              <w:t>, Performance and Risk Management</w:t>
            </w:r>
            <w:r w:rsidRPr="00600753">
              <w:rPr>
                <w:rFonts w:eastAsia="Times New Roman"/>
                <w:sz w:val="20"/>
                <w:szCs w:val="20"/>
                <w:lang w:eastAsia="en-GB"/>
              </w:rPr>
              <w:t xml:space="preserve"> Framework</w:t>
            </w:r>
            <w:r w:rsidR="0063644A" w:rsidRPr="00600753">
              <w:rPr>
                <w:rFonts w:eastAsia="Times New Roman"/>
                <w:sz w:val="20"/>
                <w:szCs w:val="20"/>
                <w:lang w:eastAsia="en-GB"/>
              </w:rPr>
              <w:t xml:space="preserve">s, </w:t>
            </w:r>
            <w:r w:rsidRPr="00600753">
              <w:rPr>
                <w:rFonts w:eastAsia="Times New Roman"/>
                <w:sz w:val="20"/>
                <w:szCs w:val="20"/>
                <w:lang w:eastAsia="en-GB"/>
              </w:rPr>
              <w:t>and</w:t>
            </w:r>
            <w:r w:rsidR="00A566E0" w:rsidRPr="00600753">
              <w:rPr>
                <w:rFonts w:eastAsia="Times New Roman"/>
                <w:sz w:val="20"/>
                <w:szCs w:val="20"/>
                <w:lang w:eastAsia="en-GB"/>
              </w:rPr>
              <w:t xml:space="preserve"> investment</w:t>
            </w:r>
            <w:r w:rsidRPr="00600753">
              <w:rPr>
                <w:rFonts w:eastAsia="Times New Roman"/>
                <w:sz w:val="20"/>
                <w:szCs w:val="20"/>
                <w:lang w:eastAsia="en-GB"/>
              </w:rPr>
              <w:t xml:space="preserve"> decision processes to ensure alignment with government guidance and suitability for programme fund allocation.</w:t>
            </w:r>
          </w:p>
          <w:p w14:paraId="03FFBB88" w14:textId="2B26B0C1" w:rsidR="000A2C64" w:rsidRPr="00600753" w:rsidRDefault="000A2C64" w:rsidP="00C7657A">
            <w:pPr>
              <w:pStyle w:val="ListParagraph"/>
              <w:numPr>
                <w:ilvl w:val="0"/>
                <w:numId w:val="6"/>
              </w:numPr>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lastRenderedPageBreak/>
              <w:t>Provide expert advice on project and programme design to ensure compliance with policies, risk appetite, funding conditions, and legal requirements (e.g. subsidy control, procurement).</w:t>
            </w:r>
          </w:p>
          <w:p w14:paraId="0AA1971B" w14:textId="5E2D01DE" w:rsidR="00AC461D" w:rsidRPr="00600753" w:rsidRDefault="000A2C64" w:rsidP="00C7657A">
            <w:pPr>
              <w:pStyle w:val="ListParagraph"/>
              <w:numPr>
                <w:ilvl w:val="0"/>
                <w:numId w:val="6"/>
              </w:numPr>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Verify funding claims through sampling and site inspections to ensure accuracy and compliance with funding terms; escalate discrepancies to D</w:t>
            </w:r>
            <w:r w:rsidR="003F4418" w:rsidRPr="00600753">
              <w:rPr>
                <w:rFonts w:eastAsia="Times New Roman"/>
                <w:sz w:val="20"/>
                <w:szCs w:val="20"/>
                <w:lang w:eastAsia="en-GB"/>
              </w:rPr>
              <w:t xml:space="preserve">irector of Resources </w:t>
            </w:r>
            <w:r w:rsidR="5AD4B52D" w:rsidRPr="00600753">
              <w:rPr>
                <w:rFonts w:eastAsia="Times New Roman"/>
                <w:sz w:val="20"/>
                <w:szCs w:val="20"/>
                <w:lang w:eastAsia="en-GB"/>
              </w:rPr>
              <w:t>and senior leaders</w:t>
            </w:r>
            <w:r w:rsidR="583255D1" w:rsidRPr="00600753">
              <w:rPr>
                <w:rFonts w:eastAsia="Times New Roman"/>
                <w:sz w:val="20"/>
                <w:szCs w:val="20"/>
                <w:lang w:eastAsia="en-GB"/>
              </w:rPr>
              <w:t xml:space="preserve"> </w:t>
            </w:r>
            <w:r w:rsidRPr="00600753">
              <w:rPr>
                <w:rFonts w:eastAsia="Times New Roman"/>
                <w:sz w:val="20"/>
                <w:szCs w:val="20"/>
                <w:lang w:eastAsia="en-GB"/>
              </w:rPr>
              <w:t>to safeguard investment.</w:t>
            </w:r>
          </w:p>
          <w:p w14:paraId="56C1FC31" w14:textId="77BF026C" w:rsidR="0090639E" w:rsidRPr="00600753" w:rsidRDefault="0090639E" w:rsidP="00C7657A">
            <w:pPr>
              <w:numPr>
                <w:ilvl w:val="0"/>
                <w:numId w:val="6"/>
              </w:numPr>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Advise senior leadership on the development of a risk management model, including evaluation of ongoing SLA arrangements</w:t>
            </w:r>
            <w:r w:rsidR="00A566E0" w:rsidRPr="00600753">
              <w:rPr>
                <w:rFonts w:eastAsia="Times New Roman"/>
                <w:sz w:val="20"/>
                <w:szCs w:val="20"/>
                <w:lang w:eastAsia="en-GB"/>
              </w:rPr>
              <w:t xml:space="preserve"> and integration across </w:t>
            </w:r>
            <w:r w:rsidR="71E18785" w:rsidRPr="00600753">
              <w:rPr>
                <w:rFonts w:eastAsia="Times New Roman"/>
                <w:sz w:val="20"/>
                <w:szCs w:val="20"/>
                <w:lang w:eastAsia="en-GB"/>
              </w:rPr>
              <w:t>P</w:t>
            </w:r>
            <w:r w:rsidR="00A566E0" w:rsidRPr="00600753">
              <w:rPr>
                <w:rFonts w:eastAsia="Times New Roman"/>
                <w:sz w:val="20"/>
                <w:szCs w:val="20"/>
                <w:lang w:eastAsia="en-GB"/>
              </w:rPr>
              <w:t>olicing</w:t>
            </w:r>
            <w:r w:rsidR="3D72E380" w:rsidRPr="00600753">
              <w:rPr>
                <w:rFonts w:eastAsia="Times New Roman"/>
                <w:sz w:val="20"/>
                <w:szCs w:val="20"/>
                <w:lang w:eastAsia="en-GB"/>
              </w:rPr>
              <w:t xml:space="preserve"> and F</w:t>
            </w:r>
            <w:r w:rsidR="00A566E0" w:rsidRPr="00600753">
              <w:rPr>
                <w:rFonts w:eastAsia="Times New Roman"/>
                <w:sz w:val="20"/>
                <w:szCs w:val="20"/>
                <w:lang w:eastAsia="en-GB"/>
              </w:rPr>
              <w:t>ire</w:t>
            </w:r>
            <w:r w:rsidRPr="00600753">
              <w:rPr>
                <w:rFonts w:eastAsia="Times New Roman"/>
                <w:sz w:val="20"/>
                <w:szCs w:val="20"/>
                <w:lang w:eastAsia="en-GB"/>
              </w:rPr>
              <w:t>.</w:t>
            </w:r>
          </w:p>
          <w:p w14:paraId="5A4524FC" w14:textId="5B41C3F2" w:rsidR="0090639E" w:rsidRPr="00600753" w:rsidRDefault="0090639E" w:rsidP="00C7657A">
            <w:pPr>
              <w:numPr>
                <w:ilvl w:val="0"/>
                <w:numId w:val="6"/>
              </w:numPr>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Establish and maintain effective risk management forums to ensure regular review and oversight of key risks.</w:t>
            </w:r>
          </w:p>
          <w:p w14:paraId="09BB68FA" w14:textId="750A2EB3" w:rsidR="00F84F35" w:rsidRPr="00600753" w:rsidRDefault="00C23ED3" w:rsidP="00C7657A">
            <w:pPr>
              <w:numPr>
                <w:ilvl w:val="0"/>
                <w:numId w:val="6"/>
              </w:numPr>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 xml:space="preserve">Lead on reporting of </w:t>
            </w:r>
            <w:r w:rsidR="00600753" w:rsidRPr="00600753">
              <w:rPr>
                <w:rFonts w:eastAsia="Times New Roman"/>
                <w:sz w:val="20"/>
                <w:szCs w:val="20"/>
                <w:lang w:eastAsia="en-GB"/>
              </w:rPr>
              <w:t>assurance, risk</w:t>
            </w:r>
            <w:r w:rsidRPr="00600753">
              <w:rPr>
                <w:rFonts w:eastAsia="Times New Roman"/>
                <w:sz w:val="20"/>
                <w:szCs w:val="20"/>
                <w:lang w:eastAsia="en-GB"/>
              </w:rPr>
              <w:t xml:space="preserve"> and performance</w:t>
            </w:r>
            <w:r w:rsidR="00ED6BF1" w:rsidRPr="00600753">
              <w:rPr>
                <w:rFonts w:eastAsia="Times New Roman"/>
                <w:sz w:val="20"/>
                <w:szCs w:val="20"/>
                <w:lang w:eastAsia="en-GB"/>
              </w:rPr>
              <w:t xml:space="preserve"> related matters to the </w:t>
            </w:r>
            <w:r w:rsidRPr="00600753">
              <w:rPr>
                <w:rFonts w:eastAsia="Times New Roman"/>
                <w:sz w:val="20"/>
                <w:szCs w:val="20"/>
                <w:lang w:eastAsia="en-GB"/>
              </w:rPr>
              <w:t xml:space="preserve">Combined Authority and </w:t>
            </w:r>
            <w:r w:rsidR="00ED6BF1" w:rsidRPr="00600753">
              <w:rPr>
                <w:rFonts w:eastAsia="Times New Roman"/>
                <w:sz w:val="20"/>
                <w:szCs w:val="20"/>
                <w:lang w:eastAsia="en-GB"/>
              </w:rPr>
              <w:t>Audit &amp; Governance Committee</w:t>
            </w:r>
            <w:r w:rsidR="00655CF7" w:rsidRPr="00600753">
              <w:rPr>
                <w:rFonts w:eastAsia="Times New Roman"/>
                <w:sz w:val="20"/>
                <w:szCs w:val="20"/>
                <w:lang w:eastAsia="en-GB"/>
              </w:rPr>
              <w:t xml:space="preserve"> taking responsibility for the preparation and preparation of committee reports.</w:t>
            </w:r>
          </w:p>
          <w:p w14:paraId="26BD0CD8" w14:textId="58579E80" w:rsidR="0062657B" w:rsidRPr="00600753" w:rsidRDefault="0062657B" w:rsidP="00C7657A">
            <w:pPr>
              <w:numPr>
                <w:ilvl w:val="0"/>
                <w:numId w:val="6"/>
              </w:numPr>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 xml:space="preserve">Lead business continuity planning across </w:t>
            </w:r>
            <w:r w:rsidR="57FE3DAA" w:rsidRPr="00600753">
              <w:rPr>
                <w:rFonts w:eastAsia="Times New Roman"/>
                <w:sz w:val="20"/>
                <w:szCs w:val="20"/>
                <w:lang w:eastAsia="en-GB"/>
              </w:rPr>
              <w:t xml:space="preserve">all </w:t>
            </w:r>
            <w:r w:rsidRPr="00600753">
              <w:rPr>
                <w:rFonts w:eastAsia="Times New Roman"/>
                <w:sz w:val="20"/>
                <w:szCs w:val="20"/>
                <w:lang w:eastAsia="en-GB"/>
              </w:rPr>
              <w:t>Combined Authority functions (excluding Police and Fire), ensuring risks are identified, assessed, and owned within teams.</w:t>
            </w:r>
          </w:p>
          <w:p w14:paraId="178F9E6C" w14:textId="30CE4589" w:rsidR="0062657B" w:rsidRPr="00600753" w:rsidRDefault="0062657B" w:rsidP="00C7657A">
            <w:pPr>
              <w:numPr>
                <w:ilvl w:val="0"/>
                <w:numId w:val="6"/>
              </w:numPr>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Embed a performance management approach across all functions, building internal capacity and developing a comprehensive KPI suite.</w:t>
            </w:r>
          </w:p>
          <w:p w14:paraId="35520E9E" w14:textId="364BA436" w:rsidR="003D54AA" w:rsidRPr="00600753" w:rsidRDefault="4FD6C6D3" w:rsidP="00C7657A">
            <w:pPr>
              <w:pStyle w:val="ListParagraph"/>
              <w:numPr>
                <w:ilvl w:val="0"/>
                <w:numId w:val="6"/>
              </w:numPr>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Monitor compliance with defined process timelines (e.g. project decision turnaround from application).</w:t>
            </w:r>
          </w:p>
          <w:p w14:paraId="03CAE574" w14:textId="6F730995" w:rsidR="00730D08" w:rsidRPr="00600753" w:rsidRDefault="00D966FE" w:rsidP="00E670CC">
            <w:pPr>
              <w:pStyle w:val="ListParagraph"/>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 xml:space="preserve">Support the </w:t>
            </w:r>
            <w:r w:rsidR="00655CF7" w:rsidRPr="00600753">
              <w:rPr>
                <w:rFonts w:eastAsia="Times New Roman"/>
                <w:sz w:val="20"/>
                <w:szCs w:val="20"/>
                <w:lang w:eastAsia="en-GB"/>
              </w:rPr>
              <w:t>Integrated Delivery Unit</w:t>
            </w:r>
            <w:r w:rsidRPr="00600753">
              <w:rPr>
                <w:rFonts w:eastAsia="Times New Roman"/>
                <w:sz w:val="20"/>
                <w:szCs w:val="20"/>
                <w:lang w:eastAsia="en-GB"/>
              </w:rPr>
              <w:t xml:space="preserve"> in reviewing exception and risk reports on funding agreements, ensuring timely escalation to </w:t>
            </w:r>
            <w:r w:rsidR="4880494F" w:rsidRPr="00600753">
              <w:rPr>
                <w:rFonts w:eastAsia="Times New Roman"/>
                <w:sz w:val="20"/>
                <w:szCs w:val="20"/>
                <w:lang w:eastAsia="en-GB"/>
              </w:rPr>
              <w:t xml:space="preserve">senior leaders </w:t>
            </w:r>
            <w:r w:rsidRPr="00600753">
              <w:rPr>
                <w:rFonts w:eastAsia="Times New Roman"/>
                <w:sz w:val="20"/>
                <w:szCs w:val="20"/>
                <w:lang w:eastAsia="en-GB"/>
              </w:rPr>
              <w:t>and commissioning external advice when necessary</w:t>
            </w:r>
          </w:p>
          <w:p w14:paraId="6E5D89E1" w14:textId="6815C959" w:rsidR="00730D08" w:rsidRPr="00600753" w:rsidRDefault="00730D08" w:rsidP="00730D08">
            <w:pPr>
              <w:pStyle w:val="ListParagraph"/>
              <w:numPr>
                <w:ilvl w:val="0"/>
                <w:numId w:val="6"/>
              </w:numPr>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 xml:space="preserve">Support the Director of Resources in the creation of an empowered, high performing, directorate that looks to continually improve the way we work. </w:t>
            </w:r>
          </w:p>
          <w:p w14:paraId="52FDC882" w14:textId="22A2423A" w:rsidR="00730D08" w:rsidRPr="00600753" w:rsidRDefault="00730D08" w:rsidP="00730D08">
            <w:pPr>
              <w:pStyle w:val="ListParagraph"/>
              <w:numPr>
                <w:ilvl w:val="0"/>
                <w:numId w:val="6"/>
              </w:numPr>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 xml:space="preserve">Represent the Combined Authority in high level interactions with central government, local government, stakeholders and partners. </w:t>
            </w:r>
          </w:p>
          <w:p w14:paraId="7F6D7152" w14:textId="69D8D005" w:rsidR="00730D08" w:rsidRPr="00600753" w:rsidRDefault="00730D08" w:rsidP="00730D08">
            <w:pPr>
              <w:pStyle w:val="ListParagraph"/>
              <w:numPr>
                <w:ilvl w:val="0"/>
                <w:numId w:val="6"/>
              </w:numPr>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 xml:space="preserve">As part of a directorate management team, provide visible leadership across the directorate. </w:t>
            </w:r>
          </w:p>
          <w:p w14:paraId="65AF909E" w14:textId="77777777" w:rsidR="00730D08" w:rsidRPr="00600753" w:rsidRDefault="00730D08" w:rsidP="00730D08">
            <w:pPr>
              <w:pStyle w:val="ListParagraph"/>
              <w:numPr>
                <w:ilvl w:val="0"/>
                <w:numId w:val="6"/>
              </w:numPr>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To shape the strategic direction and appropriately resource the service area.</w:t>
            </w:r>
          </w:p>
          <w:p w14:paraId="2A848884" w14:textId="5E19351F" w:rsidR="00B500E2" w:rsidRPr="00600753" w:rsidRDefault="002E01D7" w:rsidP="00B500E2">
            <w:pPr>
              <w:pStyle w:val="ListParagraph"/>
              <w:numPr>
                <w:ilvl w:val="0"/>
                <w:numId w:val="6"/>
              </w:numPr>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Work across the wider Combined Authority to ensure the service area contributes and compliments to the whole organisation’s agenda.</w:t>
            </w:r>
          </w:p>
        </w:tc>
      </w:tr>
      <w:tr w:rsidR="00747208" w:rsidRPr="003A4001" w14:paraId="6F0D85F9" w14:textId="77777777" w:rsidTr="52004F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tcPr>
          <w:p w14:paraId="6863D7FF" w14:textId="77777777" w:rsidR="00747208" w:rsidRPr="003A4001" w:rsidRDefault="00747208" w:rsidP="00747208">
            <w:pPr>
              <w:rPr>
                <w:b w:val="0"/>
                <w:bCs w:val="0"/>
                <w:sz w:val="20"/>
                <w:szCs w:val="20"/>
              </w:rPr>
            </w:pPr>
            <w:r w:rsidRPr="003A4001">
              <w:rPr>
                <w:sz w:val="20"/>
                <w:szCs w:val="20"/>
              </w:rPr>
              <w:lastRenderedPageBreak/>
              <w:t>Communications</w:t>
            </w:r>
          </w:p>
          <w:p w14:paraId="7C5D70B7" w14:textId="10CD9F36" w:rsidR="00747208" w:rsidRPr="003A4001" w:rsidRDefault="00747208" w:rsidP="00747208">
            <w:pPr>
              <w:rPr>
                <w:sz w:val="20"/>
                <w:szCs w:val="20"/>
              </w:rPr>
            </w:pPr>
          </w:p>
        </w:tc>
        <w:tc>
          <w:tcPr>
            <w:tcW w:w="7447" w:type="dxa"/>
            <w:tcBorders>
              <w:top w:val="none" w:sz="0" w:space="0" w:color="auto"/>
              <w:bottom w:val="none" w:sz="0" w:space="0" w:color="auto"/>
              <w:right w:val="none" w:sz="0" w:space="0" w:color="auto"/>
            </w:tcBorders>
          </w:tcPr>
          <w:p w14:paraId="5CD9684C" w14:textId="02411698" w:rsidR="00747208" w:rsidRPr="00600753" w:rsidRDefault="00E670CC" w:rsidP="00C7657A">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00753">
              <w:rPr>
                <w:rFonts w:eastAsia="Times New Roman"/>
                <w:sz w:val="20"/>
                <w:szCs w:val="20"/>
                <w:lang w:eastAsia="en-GB"/>
              </w:rPr>
              <w:t>Advise Combined</w:t>
            </w:r>
            <w:r w:rsidR="00655CF7" w:rsidRPr="00600753">
              <w:rPr>
                <w:rFonts w:eastAsia="Times New Roman"/>
                <w:sz w:val="20"/>
                <w:szCs w:val="20"/>
                <w:lang w:eastAsia="en-GB"/>
              </w:rPr>
              <w:t xml:space="preserve"> </w:t>
            </w:r>
            <w:r w:rsidRPr="00600753">
              <w:rPr>
                <w:rFonts w:eastAsia="Times New Roman"/>
                <w:sz w:val="20"/>
                <w:szCs w:val="20"/>
                <w:lang w:eastAsia="en-GB"/>
              </w:rPr>
              <w:t>Authority</w:t>
            </w:r>
            <w:r w:rsidR="00655CF7" w:rsidRPr="00600753">
              <w:rPr>
                <w:rFonts w:eastAsia="Times New Roman"/>
                <w:sz w:val="20"/>
                <w:szCs w:val="20"/>
                <w:lang w:eastAsia="en-GB"/>
              </w:rPr>
              <w:t xml:space="preserve"> </w:t>
            </w:r>
            <w:r w:rsidR="00600753" w:rsidRPr="00600753">
              <w:rPr>
                <w:rFonts w:eastAsia="Times New Roman"/>
                <w:sz w:val="20"/>
                <w:szCs w:val="20"/>
                <w:lang w:eastAsia="en-GB"/>
              </w:rPr>
              <w:t>Leadership, Service</w:t>
            </w:r>
            <w:r w:rsidR="007504A1" w:rsidRPr="00600753">
              <w:rPr>
                <w:rFonts w:eastAsia="Times New Roman"/>
                <w:sz w:val="20"/>
                <w:szCs w:val="20"/>
                <w:lang w:eastAsia="en-GB"/>
              </w:rPr>
              <w:t xml:space="preserve"> Delivery Heads, Project Managers, and Programme Management on </w:t>
            </w:r>
            <w:r w:rsidR="00655CF7" w:rsidRPr="00600753">
              <w:rPr>
                <w:rFonts w:eastAsia="Times New Roman"/>
                <w:sz w:val="20"/>
                <w:szCs w:val="20"/>
                <w:lang w:eastAsia="en-GB"/>
              </w:rPr>
              <w:t xml:space="preserve">programme and </w:t>
            </w:r>
            <w:r w:rsidR="007504A1" w:rsidRPr="00600753">
              <w:rPr>
                <w:rFonts w:eastAsia="Times New Roman"/>
                <w:sz w:val="20"/>
                <w:szCs w:val="20"/>
                <w:lang w:eastAsia="en-GB"/>
              </w:rPr>
              <w:t>contract performance issues with Project Sponsors, ensuring alignment with the Assurance Framework.</w:t>
            </w:r>
          </w:p>
          <w:p w14:paraId="7B5DA001" w14:textId="31DBF92F" w:rsidR="00E549F5" w:rsidRPr="00600753" w:rsidRDefault="101150F0" w:rsidP="00C7657A">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00753">
              <w:rPr>
                <w:sz w:val="20"/>
                <w:szCs w:val="20"/>
              </w:rPr>
              <w:t>Influence and liaise with lead business partners as required to ensure that strategic planning and implementation of plans is carried out consistently and effectively.</w:t>
            </w:r>
          </w:p>
          <w:p w14:paraId="78CB98B3" w14:textId="542BAB67" w:rsidR="00E549F5" w:rsidRPr="00600753" w:rsidRDefault="4E6931A3" w:rsidP="00C7657A">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00753">
              <w:rPr>
                <w:sz w:val="20"/>
                <w:szCs w:val="20"/>
              </w:rPr>
              <w:t xml:space="preserve">Deliver presentations </w:t>
            </w:r>
            <w:r w:rsidR="00655CF7" w:rsidRPr="00600753">
              <w:rPr>
                <w:sz w:val="20"/>
                <w:szCs w:val="20"/>
              </w:rPr>
              <w:t xml:space="preserve">and develop training </w:t>
            </w:r>
            <w:r w:rsidR="4A25DC3D" w:rsidRPr="00600753">
              <w:rPr>
                <w:sz w:val="20"/>
                <w:szCs w:val="20"/>
              </w:rPr>
              <w:t>to</w:t>
            </w:r>
            <w:r w:rsidRPr="00600753">
              <w:rPr>
                <w:sz w:val="20"/>
                <w:szCs w:val="20"/>
              </w:rPr>
              <w:t xml:space="preserve"> develop effective service delivery and good stakeholder relationships.</w:t>
            </w:r>
          </w:p>
          <w:p w14:paraId="6299C1B6" w14:textId="77777777" w:rsidR="00F06BCF" w:rsidRPr="00600753" w:rsidRDefault="4E6931A3" w:rsidP="00C7657A">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00753">
              <w:rPr>
                <w:sz w:val="20"/>
                <w:szCs w:val="20"/>
              </w:rPr>
              <w:t>Inform and analyse national and local policy change and communicate implications to senior operational managers</w:t>
            </w:r>
            <w:r w:rsidR="035AEE7E" w:rsidRPr="00600753">
              <w:rPr>
                <w:sz w:val="20"/>
                <w:szCs w:val="20"/>
              </w:rPr>
              <w:t xml:space="preserve"> and CA leadership</w:t>
            </w:r>
            <w:r w:rsidR="5A93CD2A" w:rsidRPr="00600753">
              <w:rPr>
                <w:sz w:val="20"/>
                <w:szCs w:val="20"/>
              </w:rPr>
              <w:t xml:space="preserve">. </w:t>
            </w:r>
          </w:p>
          <w:p w14:paraId="16CAA244" w14:textId="63A423BB" w:rsidR="00404599" w:rsidRPr="00600753" w:rsidRDefault="00404599" w:rsidP="00404599">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00753">
              <w:rPr>
                <w:sz w:val="20"/>
                <w:szCs w:val="20"/>
              </w:rPr>
              <w:t xml:space="preserve">Engage the Combined Authority and its Committees with both written and presented information in a high-quality professional manner.  </w:t>
            </w:r>
          </w:p>
          <w:p w14:paraId="37BB7C2E" w14:textId="3986B3D5" w:rsidR="00404599" w:rsidRPr="00600753" w:rsidRDefault="00404599" w:rsidP="00404599">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00753">
              <w:rPr>
                <w:sz w:val="20"/>
                <w:szCs w:val="20"/>
              </w:rPr>
              <w:t xml:space="preserve">Influence and liaise with internal stakeholders and partners as required to ensure that implementation of plans </w:t>
            </w:r>
            <w:proofErr w:type="gramStart"/>
            <w:r w:rsidRPr="00600753">
              <w:rPr>
                <w:sz w:val="20"/>
                <w:szCs w:val="20"/>
              </w:rPr>
              <w:t>are</w:t>
            </w:r>
            <w:proofErr w:type="gramEnd"/>
            <w:r w:rsidRPr="00600753">
              <w:rPr>
                <w:sz w:val="20"/>
                <w:szCs w:val="20"/>
              </w:rPr>
              <w:t xml:space="preserve"> carried out consistently and effectively. </w:t>
            </w:r>
          </w:p>
          <w:p w14:paraId="2112F353" w14:textId="4A31D062" w:rsidR="00404599" w:rsidRPr="00600753" w:rsidRDefault="00404599" w:rsidP="00404599">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00753">
              <w:rPr>
                <w:sz w:val="20"/>
                <w:szCs w:val="20"/>
              </w:rPr>
              <w:t xml:space="preserve">Inform and analyse national and local policy change and communicate implications to </w:t>
            </w:r>
            <w:r w:rsidR="00655CF7" w:rsidRPr="00600753">
              <w:rPr>
                <w:sz w:val="20"/>
                <w:szCs w:val="20"/>
              </w:rPr>
              <w:t xml:space="preserve">Combined Authority Leadership, </w:t>
            </w:r>
            <w:r w:rsidRPr="00600753">
              <w:rPr>
                <w:sz w:val="20"/>
                <w:szCs w:val="20"/>
              </w:rPr>
              <w:t>senior operational managers and staff as appropriate.</w:t>
            </w:r>
            <w:r w:rsidR="00655CF7" w:rsidRPr="00600753">
              <w:rPr>
                <w:sz w:val="20"/>
                <w:szCs w:val="20"/>
              </w:rPr>
              <w:t xml:space="preserve">  Present any material changes to the Combined </w:t>
            </w:r>
            <w:r w:rsidR="00B500E2" w:rsidRPr="00600753">
              <w:rPr>
                <w:sz w:val="20"/>
                <w:szCs w:val="20"/>
              </w:rPr>
              <w:t>Authority</w:t>
            </w:r>
            <w:r w:rsidR="00655CF7" w:rsidRPr="00600753">
              <w:rPr>
                <w:sz w:val="20"/>
                <w:szCs w:val="20"/>
              </w:rPr>
              <w:t xml:space="preserve"> and its Committee where appropriate.</w:t>
            </w:r>
          </w:p>
        </w:tc>
      </w:tr>
      <w:tr w:rsidR="00747208" w:rsidRPr="003A4001" w14:paraId="1F4252B4" w14:textId="77777777" w:rsidTr="52004F64">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74D9A4F4" w14:textId="0B94338F" w:rsidR="00747208" w:rsidRPr="003A4001" w:rsidRDefault="00747208" w:rsidP="00747208">
            <w:pPr>
              <w:rPr>
                <w:b w:val="0"/>
                <w:bCs w:val="0"/>
                <w:sz w:val="20"/>
                <w:szCs w:val="20"/>
              </w:rPr>
            </w:pPr>
            <w:r w:rsidRPr="003A4001">
              <w:rPr>
                <w:sz w:val="20"/>
                <w:szCs w:val="20"/>
              </w:rPr>
              <w:lastRenderedPageBreak/>
              <w:t>Partnership / corporate working</w:t>
            </w:r>
          </w:p>
        </w:tc>
        <w:tc>
          <w:tcPr>
            <w:tcW w:w="7447" w:type="dxa"/>
          </w:tcPr>
          <w:p w14:paraId="447B9FC6" w14:textId="4F34EA54" w:rsidR="008D5FA7" w:rsidRPr="00600753" w:rsidRDefault="008D5FA7" w:rsidP="00C7657A">
            <w:pPr>
              <w:numPr>
                <w:ilvl w:val="0"/>
                <w:numId w:val="7"/>
              </w:numPr>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Oversee third-party risk relationships, including</w:t>
            </w:r>
            <w:r w:rsidR="00A566E0" w:rsidRPr="00600753">
              <w:rPr>
                <w:rFonts w:eastAsia="Times New Roman"/>
                <w:sz w:val="20"/>
                <w:szCs w:val="20"/>
                <w:lang w:eastAsia="en-GB"/>
              </w:rPr>
              <w:t xml:space="preserve"> </w:t>
            </w:r>
            <w:r w:rsidR="004B2EE8" w:rsidRPr="00600753">
              <w:rPr>
                <w:rFonts w:eastAsia="Times New Roman"/>
                <w:sz w:val="20"/>
                <w:szCs w:val="20"/>
                <w:lang w:eastAsia="en-GB"/>
              </w:rPr>
              <w:t>relevant</w:t>
            </w:r>
            <w:r w:rsidRPr="00600753">
              <w:rPr>
                <w:rFonts w:eastAsia="Times New Roman"/>
                <w:sz w:val="20"/>
                <w:szCs w:val="20"/>
                <w:lang w:eastAsia="en-GB"/>
              </w:rPr>
              <w:t xml:space="preserve"> SLAs, and coordinate inputs from PFC and Fire teams to maintain the </w:t>
            </w:r>
            <w:r w:rsidR="096AAE91" w:rsidRPr="00600753">
              <w:rPr>
                <w:rFonts w:eastAsia="Times New Roman"/>
                <w:sz w:val="20"/>
                <w:szCs w:val="20"/>
                <w:lang w:eastAsia="en-GB"/>
              </w:rPr>
              <w:t xml:space="preserve">organisations </w:t>
            </w:r>
            <w:r w:rsidRPr="00600753">
              <w:rPr>
                <w:rFonts w:eastAsia="Times New Roman"/>
                <w:sz w:val="20"/>
                <w:szCs w:val="20"/>
                <w:lang w:eastAsia="en-GB"/>
              </w:rPr>
              <w:t>corporate risk register.</w:t>
            </w:r>
          </w:p>
          <w:p w14:paraId="55AD374F" w14:textId="36B7FAB9" w:rsidR="008D5FA7" w:rsidRPr="00600753" w:rsidRDefault="008D5FA7" w:rsidP="00C7657A">
            <w:pPr>
              <w:numPr>
                <w:ilvl w:val="0"/>
                <w:numId w:val="7"/>
              </w:numPr>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Manage business continuity arrangements, liaising with PFC and Fire leads to develop a Combined Authority-wide overview, including NYC SLA oversight.</w:t>
            </w:r>
          </w:p>
          <w:p w14:paraId="712FBD5E" w14:textId="304DBF56" w:rsidR="008D5FA7" w:rsidRPr="00600753" w:rsidRDefault="008D5FA7" w:rsidP="00C7657A">
            <w:pPr>
              <w:numPr>
                <w:ilvl w:val="0"/>
                <w:numId w:val="7"/>
              </w:numPr>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Lead internal audit coordination</w:t>
            </w:r>
            <w:r w:rsidR="00B500E2" w:rsidRPr="00600753">
              <w:rPr>
                <w:rFonts w:eastAsia="Times New Roman"/>
                <w:sz w:val="20"/>
                <w:szCs w:val="20"/>
                <w:lang w:eastAsia="en-GB"/>
              </w:rPr>
              <w:t xml:space="preserve"> and in consultation with the Director of Resources, develop the internal Audit plan for the Authority</w:t>
            </w:r>
            <w:r w:rsidRPr="00600753">
              <w:rPr>
                <w:rFonts w:eastAsia="Times New Roman"/>
                <w:sz w:val="20"/>
                <w:szCs w:val="20"/>
                <w:lang w:eastAsia="en-GB"/>
              </w:rPr>
              <w:t>,</w:t>
            </w:r>
            <w:r w:rsidR="00A566E0" w:rsidRPr="00600753">
              <w:rPr>
                <w:rFonts w:eastAsia="Times New Roman"/>
                <w:sz w:val="20"/>
                <w:szCs w:val="20"/>
                <w:lang w:eastAsia="en-GB"/>
              </w:rPr>
              <w:t xml:space="preserve"> ensuring</w:t>
            </w:r>
            <w:r w:rsidR="00B500E2" w:rsidRPr="00600753">
              <w:rPr>
                <w:rFonts w:eastAsia="Times New Roman"/>
                <w:sz w:val="20"/>
                <w:szCs w:val="20"/>
                <w:lang w:eastAsia="en-GB"/>
              </w:rPr>
              <w:t xml:space="preserve"> planned audits are appropriately aligned to areas of </w:t>
            </w:r>
            <w:r w:rsidR="00600753" w:rsidRPr="00600753">
              <w:rPr>
                <w:rFonts w:eastAsia="Times New Roman"/>
                <w:sz w:val="20"/>
                <w:szCs w:val="20"/>
                <w:lang w:eastAsia="en-GB"/>
              </w:rPr>
              <w:t>risk, actions</w:t>
            </w:r>
            <w:r w:rsidR="00A566E0" w:rsidRPr="00600753">
              <w:rPr>
                <w:rFonts w:eastAsia="Times New Roman"/>
                <w:sz w:val="20"/>
                <w:szCs w:val="20"/>
                <w:lang w:eastAsia="en-GB"/>
              </w:rPr>
              <w:t xml:space="preserve"> are logged and followed up</w:t>
            </w:r>
            <w:r w:rsidR="00B500E2" w:rsidRPr="00600753">
              <w:rPr>
                <w:rFonts w:eastAsia="Times New Roman"/>
                <w:sz w:val="20"/>
                <w:szCs w:val="20"/>
                <w:lang w:eastAsia="en-GB"/>
              </w:rPr>
              <w:t xml:space="preserve">, </w:t>
            </w:r>
            <w:proofErr w:type="gramStart"/>
            <w:r w:rsidR="00B500E2" w:rsidRPr="00600753">
              <w:rPr>
                <w:rFonts w:eastAsia="Times New Roman"/>
                <w:sz w:val="20"/>
                <w:szCs w:val="20"/>
                <w:lang w:eastAsia="en-GB"/>
              </w:rPr>
              <w:t>Manage</w:t>
            </w:r>
            <w:proofErr w:type="gramEnd"/>
            <w:r w:rsidR="00B500E2" w:rsidRPr="00600753">
              <w:rPr>
                <w:rFonts w:eastAsia="Times New Roman"/>
                <w:sz w:val="20"/>
                <w:szCs w:val="20"/>
                <w:lang w:eastAsia="en-GB"/>
              </w:rPr>
              <w:t xml:space="preserve"> rel</w:t>
            </w:r>
            <w:r w:rsidR="00E670CC" w:rsidRPr="00600753">
              <w:rPr>
                <w:rFonts w:eastAsia="Times New Roman"/>
                <w:sz w:val="20"/>
                <w:szCs w:val="20"/>
                <w:lang w:eastAsia="en-GB"/>
              </w:rPr>
              <w:t>e</w:t>
            </w:r>
            <w:r w:rsidR="00B500E2" w:rsidRPr="00600753">
              <w:rPr>
                <w:rFonts w:eastAsia="Times New Roman"/>
                <w:sz w:val="20"/>
                <w:szCs w:val="20"/>
                <w:lang w:eastAsia="en-GB"/>
              </w:rPr>
              <w:t>v</w:t>
            </w:r>
            <w:r w:rsidR="00E670CC" w:rsidRPr="00600753">
              <w:rPr>
                <w:rFonts w:eastAsia="Times New Roman"/>
                <w:sz w:val="20"/>
                <w:szCs w:val="20"/>
                <w:lang w:eastAsia="en-GB"/>
              </w:rPr>
              <w:t>a</w:t>
            </w:r>
            <w:r w:rsidR="00B500E2" w:rsidRPr="00600753">
              <w:rPr>
                <w:rFonts w:eastAsia="Times New Roman"/>
                <w:sz w:val="20"/>
                <w:szCs w:val="20"/>
                <w:lang w:eastAsia="en-GB"/>
              </w:rPr>
              <w:t>nt</w:t>
            </w:r>
            <w:r w:rsidR="00E670CC" w:rsidRPr="00600753">
              <w:rPr>
                <w:rFonts w:eastAsia="Times New Roman"/>
                <w:sz w:val="20"/>
                <w:szCs w:val="20"/>
                <w:lang w:eastAsia="en-GB"/>
              </w:rPr>
              <w:t xml:space="preserve"> </w:t>
            </w:r>
            <w:r w:rsidRPr="00600753">
              <w:rPr>
                <w:rFonts w:eastAsia="Times New Roman"/>
                <w:sz w:val="20"/>
                <w:szCs w:val="20"/>
                <w:lang w:eastAsia="en-GB"/>
              </w:rPr>
              <w:t>SLAs and third-party relationships to ensure effective delivery.</w:t>
            </w:r>
          </w:p>
          <w:p w14:paraId="4440641C" w14:textId="47859142" w:rsidR="00747208" w:rsidRPr="00600753" w:rsidRDefault="008D5FA7" w:rsidP="00C7657A">
            <w:pPr>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Monitor contractual and funding obligations, ensuring timely publication of assurance statements and reports across Combined Authority programmes</w:t>
            </w:r>
            <w:r w:rsidR="00B500E2" w:rsidRPr="00600753">
              <w:rPr>
                <w:rFonts w:eastAsia="Times New Roman"/>
                <w:sz w:val="20"/>
                <w:szCs w:val="20"/>
                <w:lang w:eastAsia="en-GB"/>
              </w:rPr>
              <w:t xml:space="preserve"> and for the </w:t>
            </w:r>
            <w:proofErr w:type="gramStart"/>
            <w:r w:rsidR="00B500E2" w:rsidRPr="00600753">
              <w:rPr>
                <w:rFonts w:eastAsia="Times New Roman"/>
                <w:sz w:val="20"/>
                <w:szCs w:val="20"/>
                <w:lang w:eastAsia="en-GB"/>
              </w:rPr>
              <w:t>organisation as a whole</w:t>
            </w:r>
            <w:proofErr w:type="gramEnd"/>
            <w:r w:rsidRPr="00600753">
              <w:rPr>
                <w:rFonts w:eastAsia="Times New Roman"/>
                <w:sz w:val="20"/>
                <w:szCs w:val="20"/>
                <w:lang w:eastAsia="en-GB"/>
              </w:rPr>
              <w:t>.</w:t>
            </w:r>
          </w:p>
          <w:p w14:paraId="5C9A1C73" w14:textId="38719EC0" w:rsidR="000E7E16" w:rsidRPr="00600753" w:rsidRDefault="000E7E16" w:rsidP="00C7657A">
            <w:pPr>
              <w:numPr>
                <w:ilvl w:val="0"/>
                <w:numId w:val="7"/>
              </w:numPr>
              <w:spacing w:after="0" w:line="253" w:lineRule="atLeas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Collaborate with leadership and stakeholders (including the Mayor and Government) to develop performance indicators and outcomes for investment appraisal and resource prioritisation, with a long-term focus on an Outputs and Outcomes Framework.</w:t>
            </w:r>
          </w:p>
        </w:tc>
      </w:tr>
      <w:tr w:rsidR="00747208" w:rsidRPr="003A4001" w14:paraId="07D242D3" w14:textId="77777777" w:rsidTr="52004F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tcPr>
          <w:p w14:paraId="4E6B7E95" w14:textId="2D9D555F" w:rsidR="00747208" w:rsidRPr="003A4001" w:rsidRDefault="00747208" w:rsidP="00747208">
            <w:pPr>
              <w:rPr>
                <w:b w:val="0"/>
                <w:bCs w:val="0"/>
                <w:sz w:val="20"/>
                <w:szCs w:val="20"/>
              </w:rPr>
            </w:pPr>
            <w:r w:rsidRPr="003A4001">
              <w:rPr>
                <w:sz w:val="20"/>
                <w:szCs w:val="20"/>
              </w:rPr>
              <w:t>Resource management</w:t>
            </w:r>
          </w:p>
        </w:tc>
        <w:tc>
          <w:tcPr>
            <w:tcW w:w="7447" w:type="dxa"/>
            <w:tcBorders>
              <w:top w:val="none" w:sz="0" w:space="0" w:color="auto"/>
              <w:bottom w:val="none" w:sz="0" w:space="0" w:color="auto"/>
              <w:right w:val="none" w:sz="0" w:space="0" w:color="auto"/>
            </w:tcBorders>
          </w:tcPr>
          <w:p w14:paraId="62B0C69D" w14:textId="4939FEDF" w:rsidR="00FC1F06" w:rsidRPr="00600753" w:rsidRDefault="00FC1F06" w:rsidP="00C7657A">
            <w:pPr>
              <w:numPr>
                <w:ilvl w:val="0"/>
                <w:numId w:val="5"/>
              </w:numPr>
              <w:spacing w:after="0" w:line="253" w:lineRule="atLeas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 xml:space="preserve">Ensure </w:t>
            </w:r>
            <w:r w:rsidR="00A566E0" w:rsidRPr="00600753">
              <w:rPr>
                <w:rFonts w:eastAsia="Times New Roman"/>
                <w:sz w:val="20"/>
                <w:szCs w:val="20"/>
                <w:lang w:eastAsia="en-GB"/>
              </w:rPr>
              <w:t xml:space="preserve">organisation wide </w:t>
            </w:r>
            <w:r w:rsidRPr="00600753">
              <w:rPr>
                <w:rFonts w:eastAsia="Times New Roman"/>
                <w:sz w:val="20"/>
                <w:szCs w:val="20"/>
                <w:lang w:eastAsia="en-GB"/>
              </w:rPr>
              <w:t>compliance with the Assurance Framework, supporting directorates and teams to operate within its standards and building organisational understanding.</w:t>
            </w:r>
          </w:p>
          <w:p w14:paraId="32C04E0D" w14:textId="77777777" w:rsidR="00FC1F06" w:rsidRPr="00600753" w:rsidRDefault="00FC1F06" w:rsidP="00C7657A">
            <w:pPr>
              <w:numPr>
                <w:ilvl w:val="0"/>
                <w:numId w:val="5"/>
              </w:numPr>
              <w:spacing w:after="0" w:line="253" w:lineRule="atLeas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Develop and manage funding approval and reporting processes, ensuring alignment with the Assurance Framework and supporting programme teams on milestones, terms, and contract variations.</w:t>
            </w:r>
          </w:p>
          <w:p w14:paraId="167F1A79" w14:textId="34517CED" w:rsidR="00FC1F06" w:rsidRPr="00600753" w:rsidRDefault="00FC1F06" w:rsidP="00C7657A">
            <w:pPr>
              <w:numPr>
                <w:ilvl w:val="0"/>
                <w:numId w:val="5"/>
              </w:numPr>
              <w:spacing w:after="0" w:line="253" w:lineRule="atLeas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Advise service leads and coordinate audits, including internal reviews and audits by bodies</w:t>
            </w:r>
            <w:r w:rsidR="259B07AF" w:rsidRPr="00600753">
              <w:rPr>
                <w:rFonts w:eastAsia="Times New Roman"/>
                <w:sz w:val="20"/>
                <w:szCs w:val="20"/>
                <w:lang w:eastAsia="en-GB"/>
              </w:rPr>
              <w:t>,</w:t>
            </w:r>
            <w:r w:rsidRPr="00600753">
              <w:rPr>
                <w:rFonts w:eastAsia="Times New Roman"/>
                <w:sz w:val="20"/>
                <w:szCs w:val="20"/>
                <w:lang w:eastAsia="en-GB"/>
              </w:rPr>
              <w:t xml:space="preserve"> such as </w:t>
            </w:r>
            <w:r w:rsidR="00A566E0" w:rsidRPr="00600753">
              <w:rPr>
                <w:rFonts w:eastAsia="Times New Roman"/>
                <w:sz w:val="20"/>
                <w:szCs w:val="20"/>
                <w:lang w:eastAsia="en-GB"/>
              </w:rPr>
              <w:t xml:space="preserve">Veritau </w:t>
            </w:r>
            <w:r w:rsidRPr="00600753">
              <w:rPr>
                <w:rFonts w:eastAsia="Times New Roman"/>
                <w:sz w:val="20"/>
                <w:szCs w:val="20"/>
                <w:lang w:eastAsia="en-GB"/>
              </w:rPr>
              <w:t>and UK Government.</w:t>
            </w:r>
          </w:p>
          <w:p w14:paraId="25274DF4" w14:textId="77777777" w:rsidR="00FC1F06" w:rsidRPr="00600753" w:rsidRDefault="00FC1F06" w:rsidP="00C7657A">
            <w:pPr>
              <w:numPr>
                <w:ilvl w:val="0"/>
                <w:numId w:val="5"/>
              </w:numPr>
              <w:spacing w:after="0" w:line="253" w:lineRule="atLeas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Maintain comprehensive risk management documentation, ensuring teams understand and fulfil their responsibilities.</w:t>
            </w:r>
          </w:p>
          <w:p w14:paraId="6FE653BE" w14:textId="63949C45" w:rsidR="00FC1F06" w:rsidRPr="00600753" w:rsidRDefault="00FC1F06" w:rsidP="00C7657A">
            <w:pPr>
              <w:numPr>
                <w:ilvl w:val="0"/>
                <w:numId w:val="5"/>
              </w:numPr>
              <w:spacing w:after="0" w:line="253" w:lineRule="atLeas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Design</w:t>
            </w:r>
            <w:r w:rsidR="00A566E0" w:rsidRPr="00600753">
              <w:rPr>
                <w:rFonts w:eastAsia="Times New Roman"/>
                <w:sz w:val="20"/>
                <w:szCs w:val="20"/>
                <w:lang w:eastAsia="en-GB"/>
              </w:rPr>
              <w:t xml:space="preserve"> programme</w:t>
            </w:r>
            <w:r w:rsidRPr="00600753">
              <w:rPr>
                <w:rFonts w:eastAsia="Times New Roman"/>
                <w:sz w:val="20"/>
                <w:szCs w:val="20"/>
                <w:lang w:eastAsia="en-GB"/>
              </w:rPr>
              <w:t xml:space="preserve"> appraisal scoring criteria, based on proposal requirements such as deliverability and affordability.</w:t>
            </w:r>
          </w:p>
          <w:p w14:paraId="340CA4CF" w14:textId="77777777" w:rsidR="00747208" w:rsidRPr="00600753" w:rsidRDefault="00FC1F06" w:rsidP="00C7657A">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00753">
              <w:rPr>
                <w:rFonts w:eastAsia="Times New Roman"/>
                <w:sz w:val="20"/>
                <w:szCs w:val="20"/>
                <w:lang w:eastAsia="en-GB"/>
              </w:rPr>
              <w:t>Strengthen organisational capacity and resilience, defining characteristics of successful projects and guiding early-stage project development.</w:t>
            </w:r>
          </w:p>
          <w:p w14:paraId="22B9E834" w14:textId="77777777" w:rsidR="00F25F60" w:rsidRPr="00600753" w:rsidRDefault="00F25F60" w:rsidP="00C7657A">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00753">
              <w:rPr>
                <w:rFonts w:eastAsia="Times New Roman"/>
                <w:sz w:val="20"/>
                <w:szCs w:val="20"/>
                <w:lang w:eastAsia="en-GB"/>
              </w:rPr>
              <w:t>Ensure legal obligations under Subsidy Control are met prior to grant agreement sign-off and maintain robust audit trails to defend against potential challenges</w:t>
            </w:r>
          </w:p>
          <w:p w14:paraId="6D37A8D7" w14:textId="77777777" w:rsidR="003D654B" w:rsidRPr="00600753" w:rsidRDefault="003D654B" w:rsidP="00C7657A">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00753">
              <w:rPr>
                <w:sz w:val="20"/>
                <w:szCs w:val="20"/>
              </w:rPr>
              <w:t xml:space="preserve">Exercise professional leadership through managing staff, ensuring relevant professional and occupational standards are maintained. </w:t>
            </w:r>
          </w:p>
          <w:p w14:paraId="0B55238A" w14:textId="77777777" w:rsidR="003D654B" w:rsidRPr="00600753" w:rsidRDefault="003D654B" w:rsidP="00C7657A">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00753">
              <w:rPr>
                <w:sz w:val="20"/>
                <w:szCs w:val="20"/>
              </w:rPr>
              <w:t xml:space="preserve">Inspire, lead and line manage staff, taking responsibility for recruitment, appraisals and allocation of work. </w:t>
            </w:r>
          </w:p>
          <w:p w14:paraId="5C411A1B" w14:textId="77777777" w:rsidR="003D654B" w:rsidRPr="00600753" w:rsidRDefault="003D654B" w:rsidP="00C7657A">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00753">
              <w:rPr>
                <w:sz w:val="20"/>
                <w:szCs w:val="20"/>
              </w:rPr>
              <w:t>Budget management responsibility and decision making from a delegated budget.</w:t>
            </w:r>
          </w:p>
          <w:p w14:paraId="662F8A68" w14:textId="6A24B360" w:rsidR="003D654B" w:rsidRPr="00600753" w:rsidRDefault="003D654B" w:rsidP="00C7657A">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00753">
              <w:rPr>
                <w:sz w:val="20"/>
                <w:szCs w:val="20"/>
              </w:rPr>
              <w:t>Manage the service within operational budgets and be responsible for the delivery of all funded programmes for which the service is responsible</w:t>
            </w:r>
            <w:r w:rsidR="00160C92" w:rsidRPr="00600753">
              <w:rPr>
                <w:sz w:val="20"/>
                <w:szCs w:val="20"/>
              </w:rPr>
              <w:t xml:space="preserve"> for</w:t>
            </w:r>
            <w:r w:rsidRPr="00600753">
              <w:rPr>
                <w:sz w:val="20"/>
                <w:szCs w:val="20"/>
              </w:rPr>
              <w:t>.</w:t>
            </w:r>
          </w:p>
          <w:p w14:paraId="66045FB0" w14:textId="579CA696" w:rsidR="003A7BEC" w:rsidRPr="00600753" w:rsidRDefault="003A7BEC" w:rsidP="00160C92">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00753">
              <w:rPr>
                <w:sz w:val="20"/>
                <w:szCs w:val="20"/>
              </w:rPr>
              <w:t xml:space="preserve">Inspire, lead and line manage staff, taking responsibility for recruitment, appraisals, development and allocation of work. </w:t>
            </w:r>
          </w:p>
          <w:p w14:paraId="0087DD7A" w14:textId="7E2A2650" w:rsidR="00B500E2" w:rsidRPr="00600753" w:rsidRDefault="00B500E2" w:rsidP="00160C92">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00753">
              <w:rPr>
                <w:rFonts w:eastAsia="Times New Roman"/>
                <w:sz w:val="20"/>
                <w:szCs w:val="20"/>
                <w:lang w:eastAsia="en-GB"/>
              </w:rPr>
              <w:t>Continually review resourcing and capability requirements across the Assurance, Risk and Performance Function and grow and develop the team in accordance with developing organisational need</w:t>
            </w:r>
          </w:p>
          <w:p w14:paraId="22ED61EB" w14:textId="17DE8C57" w:rsidR="003A7BEC" w:rsidRPr="00600753" w:rsidRDefault="003A7BEC" w:rsidP="00160C92">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747208" w:rsidRPr="003A4001" w14:paraId="6E7A4B37" w14:textId="77777777" w:rsidTr="52004F64">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285A52F3" w14:textId="7382BD62" w:rsidR="00747208" w:rsidRPr="003A4001" w:rsidRDefault="00747208" w:rsidP="00747208">
            <w:pPr>
              <w:tabs>
                <w:tab w:val="num" w:pos="1610"/>
              </w:tabs>
              <w:rPr>
                <w:b w:val="0"/>
                <w:bCs w:val="0"/>
                <w:sz w:val="20"/>
                <w:szCs w:val="20"/>
              </w:rPr>
            </w:pPr>
            <w:r w:rsidRPr="003A4001">
              <w:rPr>
                <w:sz w:val="20"/>
                <w:szCs w:val="20"/>
              </w:rPr>
              <w:t xml:space="preserve">Systems and information </w:t>
            </w:r>
          </w:p>
        </w:tc>
        <w:tc>
          <w:tcPr>
            <w:tcW w:w="7447" w:type="dxa"/>
          </w:tcPr>
          <w:p w14:paraId="6CEACA82" w14:textId="77777777" w:rsidR="006F7330" w:rsidRPr="00600753" w:rsidRDefault="006F7330" w:rsidP="00C7657A">
            <w:pPr>
              <w:pStyle w:val="ListParagraph"/>
              <w:numPr>
                <w:ilvl w:val="0"/>
                <w:numId w:val="5"/>
              </w:numPr>
              <w:spacing w:after="0" w:line="253" w:lineRule="atLeast"/>
              <w:cnfStyle w:val="000000000000" w:firstRow="0" w:lastRow="0" w:firstColumn="0" w:lastColumn="0" w:oddVBand="0" w:evenVBand="0" w:oddHBand="0" w:evenHBand="0" w:firstRowFirstColumn="0" w:firstRowLastColumn="0" w:lastRowFirstColumn="0" w:lastRowLastColumn="0"/>
              <w:rPr>
                <w:sz w:val="20"/>
                <w:szCs w:val="20"/>
              </w:rPr>
            </w:pPr>
            <w:r w:rsidRPr="00600753">
              <w:rPr>
                <w:sz w:val="20"/>
                <w:szCs w:val="20"/>
              </w:rPr>
              <w:t>Maintain comprehensive business continuity documentation, ensuring directorates and teams understand their responsibilities.</w:t>
            </w:r>
          </w:p>
          <w:p w14:paraId="0667BC64" w14:textId="37D64E80" w:rsidR="006F7330" w:rsidRPr="00600753" w:rsidRDefault="006F7330" w:rsidP="00C7657A">
            <w:pPr>
              <w:pStyle w:val="ListParagraph"/>
              <w:numPr>
                <w:ilvl w:val="0"/>
                <w:numId w:val="5"/>
              </w:numPr>
              <w:spacing w:after="0" w:line="253" w:lineRule="atLeast"/>
              <w:cnfStyle w:val="000000000000" w:firstRow="0" w:lastRow="0" w:firstColumn="0" w:lastColumn="0" w:oddVBand="0" w:evenVBand="0" w:oddHBand="0" w:evenHBand="0" w:firstRowFirstColumn="0" w:firstRowLastColumn="0" w:lastRowFirstColumn="0" w:lastRowLastColumn="0"/>
              <w:rPr>
                <w:sz w:val="20"/>
                <w:szCs w:val="20"/>
              </w:rPr>
            </w:pPr>
            <w:r w:rsidRPr="00600753">
              <w:rPr>
                <w:sz w:val="20"/>
                <w:szCs w:val="20"/>
              </w:rPr>
              <w:lastRenderedPageBreak/>
              <w:t xml:space="preserve">Coordinate the Combined Authority’s audit plan in partnership with </w:t>
            </w:r>
            <w:r w:rsidR="00C26D35" w:rsidRPr="00600753">
              <w:rPr>
                <w:sz w:val="20"/>
                <w:szCs w:val="20"/>
              </w:rPr>
              <w:t xml:space="preserve">the Authorities external Business Assurance </w:t>
            </w:r>
            <w:r w:rsidR="007F56C8" w:rsidRPr="00600753">
              <w:rPr>
                <w:sz w:val="20"/>
                <w:szCs w:val="20"/>
              </w:rPr>
              <w:t xml:space="preserve">and advisory service, </w:t>
            </w:r>
            <w:r w:rsidRPr="00600753">
              <w:rPr>
                <w:sz w:val="20"/>
                <w:szCs w:val="20"/>
              </w:rPr>
              <w:t>Veritau, in line with SLA requirements.</w:t>
            </w:r>
          </w:p>
          <w:p w14:paraId="54B2EFD0" w14:textId="32054AF4" w:rsidR="006F7330" w:rsidRPr="00600753" w:rsidRDefault="006F7330" w:rsidP="00C7657A">
            <w:pPr>
              <w:pStyle w:val="ListParagraph"/>
              <w:numPr>
                <w:ilvl w:val="0"/>
                <w:numId w:val="5"/>
              </w:numPr>
              <w:spacing w:after="0" w:line="253" w:lineRule="atLeast"/>
              <w:cnfStyle w:val="000000000000" w:firstRow="0" w:lastRow="0" w:firstColumn="0" w:lastColumn="0" w:oddVBand="0" w:evenVBand="0" w:oddHBand="0" w:evenHBand="0" w:firstRowFirstColumn="0" w:firstRowLastColumn="0" w:lastRowFirstColumn="0" w:lastRowLastColumn="0"/>
              <w:rPr>
                <w:sz w:val="20"/>
                <w:szCs w:val="20"/>
              </w:rPr>
            </w:pPr>
            <w:r w:rsidRPr="00600753">
              <w:rPr>
                <w:sz w:val="20"/>
                <w:szCs w:val="20"/>
              </w:rPr>
              <w:t xml:space="preserve">Develop performance reporting systems, </w:t>
            </w:r>
            <w:r w:rsidR="2ABAC5F8" w:rsidRPr="00600753">
              <w:rPr>
                <w:sz w:val="20"/>
                <w:szCs w:val="20"/>
              </w:rPr>
              <w:t xml:space="preserve">across the organisation </w:t>
            </w:r>
            <w:r w:rsidR="2ABAC5F8" w:rsidRPr="00600753">
              <w:rPr>
                <w:rFonts w:eastAsia="Times New Roman"/>
                <w:sz w:val="20"/>
                <w:szCs w:val="20"/>
                <w:lang w:eastAsia="en-GB"/>
              </w:rPr>
              <w:t>(excluding Police and Fire),</w:t>
            </w:r>
            <w:r w:rsidR="2ABAC5F8" w:rsidRPr="00600753">
              <w:rPr>
                <w:sz w:val="20"/>
                <w:szCs w:val="20"/>
              </w:rPr>
              <w:t xml:space="preserve"> </w:t>
            </w:r>
            <w:r w:rsidRPr="00600753">
              <w:rPr>
                <w:strike/>
                <w:sz w:val="20"/>
                <w:szCs w:val="20"/>
              </w:rPr>
              <w:t xml:space="preserve">particularly within the Economy </w:t>
            </w:r>
            <w:r w:rsidR="00A566E0" w:rsidRPr="00600753">
              <w:rPr>
                <w:strike/>
                <w:sz w:val="20"/>
                <w:szCs w:val="20"/>
              </w:rPr>
              <w:t xml:space="preserve">and Transport </w:t>
            </w:r>
            <w:r w:rsidRPr="00600753">
              <w:rPr>
                <w:strike/>
                <w:sz w:val="20"/>
                <w:szCs w:val="20"/>
              </w:rPr>
              <w:t>Directorate</w:t>
            </w:r>
            <w:r w:rsidR="00A566E0" w:rsidRPr="00600753">
              <w:rPr>
                <w:strike/>
                <w:sz w:val="20"/>
                <w:szCs w:val="20"/>
              </w:rPr>
              <w:t>s</w:t>
            </w:r>
            <w:r w:rsidRPr="00600753">
              <w:rPr>
                <w:sz w:val="20"/>
                <w:szCs w:val="20"/>
              </w:rPr>
              <w:t>, to capture KPIs, outputs, outcomes, and impacts (e.g. jobs created, CO</w:t>
            </w:r>
            <w:r w:rsidRPr="00600753">
              <w:rPr>
                <w:rFonts w:ascii="Cambria Math" w:hAnsi="Cambria Math" w:cs="Cambria Math"/>
                <w:sz w:val="20"/>
                <w:szCs w:val="20"/>
              </w:rPr>
              <w:t>₂</w:t>
            </w:r>
            <w:r w:rsidRPr="00600753">
              <w:rPr>
                <w:sz w:val="20"/>
                <w:szCs w:val="20"/>
              </w:rPr>
              <w:t xml:space="preserve"> emissions saved).</w:t>
            </w:r>
          </w:p>
          <w:p w14:paraId="6FA6F433" w14:textId="77777777" w:rsidR="006F7330" w:rsidRPr="00600753" w:rsidRDefault="006F7330" w:rsidP="00C7657A">
            <w:pPr>
              <w:pStyle w:val="ListParagraph"/>
              <w:numPr>
                <w:ilvl w:val="0"/>
                <w:numId w:val="5"/>
              </w:numPr>
              <w:spacing w:after="0" w:line="253" w:lineRule="atLeast"/>
              <w:cnfStyle w:val="000000000000" w:firstRow="0" w:lastRow="0" w:firstColumn="0" w:lastColumn="0" w:oddVBand="0" w:evenVBand="0" w:oddHBand="0" w:evenHBand="0" w:firstRowFirstColumn="0" w:firstRowLastColumn="0" w:lastRowFirstColumn="0" w:lastRowLastColumn="0"/>
              <w:rPr>
                <w:sz w:val="20"/>
                <w:szCs w:val="20"/>
              </w:rPr>
            </w:pPr>
            <w:r w:rsidRPr="00600753">
              <w:rPr>
                <w:sz w:val="20"/>
                <w:szCs w:val="20"/>
              </w:rPr>
              <w:t>Support delivery directorates in performance reporting, enabling leadership to hold teams accountable through clear data and reporting standards.</w:t>
            </w:r>
          </w:p>
          <w:p w14:paraId="72F3291B" w14:textId="77777777" w:rsidR="006F7330" w:rsidRPr="00600753" w:rsidRDefault="006F7330" w:rsidP="00C7657A">
            <w:pPr>
              <w:pStyle w:val="ListParagraph"/>
              <w:numPr>
                <w:ilvl w:val="0"/>
                <w:numId w:val="5"/>
              </w:numPr>
              <w:spacing w:after="0" w:line="253" w:lineRule="atLeast"/>
              <w:cnfStyle w:val="000000000000" w:firstRow="0" w:lastRow="0" w:firstColumn="0" w:lastColumn="0" w:oddVBand="0" w:evenVBand="0" w:oddHBand="0" w:evenHBand="0" w:firstRowFirstColumn="0" w:firstRowLastColumn="0" w:lastRowFirstColumn="0" w:lastRowLastColumn="0"/>
              <w:rPr>
                <w:sz w:val="20"/>
                <w:szCs w:val="20"/>
              </w:rPr>
            </w:pPr>
            <w:r w:rsidRPr="00600753">
              <w:rPr>
                <w:sz w:val="20"/>
                <w:szCs w:val="20"/>
              </w:rPr>
              <w:t>Analyse KPI and delivery performance, providing assurance to leadership by identifying risks, exceptions, and underperformance, and recommending remedial actions through high-quality reports and briefings.</w:t>
            </w:r>
          </w:p>
          <w:p w14:paraId="757CF641" w14:textId="45A5749B" w:rsidR="006F7330" w:rsidRPr="00600753" w:rsidRDefault="006F7330" w:rsidP="00C7657A">
            <w:pPr>
              <w:pStyle w:val="ListParagraph"/>
              <w:numPr>
                <w:ilvl w:val="0"/>
                <w:numId w:val="5"/>
              </w:numPr>
              <w:spacing w:after="0" w:line="253" w:lineRule="atLeast"/>
              <w:cnfStyle w:val="000000000000" w:firstRow="0" w:lastRow="0" w:firstColumn="0" w:lastColumn="0" w:oddVBand="0" w:evenVBand="0" w:oddHBand="0" w:evenHBand="0" w:firstRowFirstColumn="0" w:firstRowLastColumn="0" w:lastRowFirstColumn="0" w:lastRowLastColumn="0"/>
              <w:rPr>
                <w:sz w:val="20"/>
                <w:szCs w:val="20"/>
              </w:rPr>
            </w:pPr>
            <w:r w:rsidRPr="00600753">
              <w:rPr>
                <w:sz w:val="20"/>
                <w:szCs w:val="20"/>
              </w:rPr>
              <w:t>Support the Economy</w:t>
            </w:r>
            <w:r w:rsidR="33229A90" w:rsidRPr="00600753">
              <w:rPr>
                <w:sz w:val="20"/>
                <w:szCs w:val="20"/>
              </w:rPr>
              <w:t>,</w:t>
            </w:r>
            <w:r w:rsidRPr="00600753">
              <w:rPr>
                <w:sz w:val="20"/>
                <w:szCs w:val="20"/>
              </w:rPr>
              <w:t xml:space="preserve"> </w:t>
            </w:r>
            <w:r w:rsidR="33229A90" w:rsidRPr="00600753">
              <w:rPr>
                <w:sz w:val="20"/>
                <w:szCs w:val="20"/>
              </w:rPr>
              <w:t>Transport and Central Services</w:t>
            </w:r>
            <w:r w:rsidRPr="00600753">
              <w:rPr>
                <w:sz w:val="20"/>
                <w:szCs w:val="20"/>
              </w:rPr>
              <w:t xml:space="preserve"> Directorate</w:t>
            </w:r>
            <w:r w:rsidR="3A9E77F7" w:rsidRPr="00600753">
              <w:rPr>
                <w:sz w:val="20"/>
                <w:szCs w:val="20"/>
              </w:rPr>
              <w:t>s</w:t>
            </w:r>
            <w:r w:rsidRPr="00600753">
              <w:rPr>
                <w:sz w:val="20"/>
                <w:szCs w:val="20"/>
              </w:rPr>
              <w:t xml:space="preserve"> in maintaining a central project database, tracking key metrics and progress to ensure contractual compliance.</w:t>
            </w:r>
          </w:p>
          <w:p w14:paraId="560008C8" w14:textId="77777777" w:rsidR="006F7330" w:rsidRPr="00600753" w:rsidRDefault="006F7330" w:rsidP="00C7657A">
            <w:pPr>
              <w:pStyle w:val="ListParagraph"/>
              <w:numPr>
                <w:ilvl w:val="0"/>
                <w:numId w:val="5"/>
              </w:numPr>
              <w:spacing w:after="0" w:line="253" w:lineRule="atLeast"/>
              <w:cnfStyle w:val="000000000000" w:firstRow="0" w:lastRow="0" w:firstColumn="0" w:lastColumn="0" w:oddVBand="0" w:evenVBand="0" w:oddHBand="0" w:evenHBand="0" w:firstRowFirstColumn="0" w:firstRowLastColumn="0" w:lastRowFirstColumn="0" w:lastRowLastColumn="0"/>
              <w:rPr>
                <w:sz w:val="20"/>
                <w:szCs w:val="20"/>
              </w:rPr>
            </w:pPr>
            <w:r w:rsidRPr="00600753">
              <w:rPr>
                <w:sz w:val="20"/>
                <w:szCs w:val="20"/>
              </w:rPr>
              <w:t>Lead development of a performance management framework, formalising review processes across the financial year.</w:t>
            </w:r>
          </w:p>
          <w:p w14:paraId="52C80D91" w14:textId="0DA8BC5F" w:rsidR="0057062E" w:rsidRPr="00600753" w:rsidRDefault="006F7330" w:rsidP="0057062E">
            <w:pPr>
              <w:pStyle w:val="ListParagraph"/>
              <w:numPr>
                <w:ilvl w:val="0"/>
                <w:numId w:val="5"/>
              </w:numPr>
              <w:spacing w:after="0" w:line="253" w:lineRule="atLeast"/>
              <w:cnfStyle w:val="000000000000" w:firstRow="0" w:lastRow="0" w:firstColumn="0" w:lastColumn="0" w:oddVBand="0" w:evenVBand="0" w:oddHBand="0" w:evenHBand="0" w:firstRowFirstColumn="0" w:firstRowLastColumn="0" w:lastRowFirstColumn="0" w:lastRowLastColumn="0"/>
              <w:rPr>
                <w:sz w:val="20"/>
                <w:szCs w:val="20"/>
              </w:rPr>
            </w:pPr>
            <w:r w:rsidRPr="00600753">
              <w:rPr>
                <w:sz w:val="20"/>
                <w:szCs w:val="20"/>
              </w:rPr>
              <w:t>Collaborate with the Programme Management Team to develop an appraisal framework, enabling expedited assessment of lower-value projects using proportionate HMT Green Book methodology.</w:t>
            </w:r>
          </w:p>
          <w:p w14:paraId="7C5C323C" w14:textId="5AD2A359" w:rsidR="0057062E" w:rsidRPr="00600753" w:rsidRDefault="0057062E" w:rsidP="0057062E">
            <w:pPr>
              <w:pStyle w:val="ListParagraph"/>
              <w:numPr>
                <w:ilvl w:val="0"/>
                <w:numId w:val="5"/>
              </w:numPr>
              <w:spacing w:after="0" w:line="253" w:lineRule="atLeast"/>
              <w:cnfStyle w:val="000000000000" w:firstRow="0" w:lastRow="0" w:firstColumn="0" w:lastColumn="0" w:oddVBand="0" w:evenVBand="0" w:oddHBand="0" w:evenHBand="0" w:firstRowFirstColumn="0" w:firstRowLastColumn="0" w:lastRowFirstColumn="0" w:lastRowLastColumn="0"/>
              <w:rPr>
                <w:sz w:val="20"/>
                <w:szCs w:val="20"/>
              </w:rPr>
            </w:pPr>
            <w:r w:rsidRPr="00600753">
              <w:rPr>
                <w:sz w:val="20"/>
                <w:szCs w:val="20"/>
              </w:rPr>
              <w:t xml:space="preserve">Ensure that systems and processes to support the service are consistent with the Combined Authorities standards and procedures. </w:t>
            </w:r>
          </w:p>
          <w:p w14:paraId="371FCFCA" w14:textId="054E3CBD" w:rsidR="0057062E" w:rsidRPr="00600753" w:rsidRDefault="0057062E" w:rsidP="0057062E">
            <w:pPr>
              <w:pStyle w:val="ListParagraph"/>
              <w:numPr>
                <w:ilvl w:val="0"/>
                <w:numId w:val="5"/>
              </w:numPr>
              <w:spacing w:after="0" w:line="253" w:lineRule="atLeast"/>
              <w:cnfStyle w:val="000000000000" w:firstRow="0" w:lastRow="0" w:firstColumn="0" w:lastColumn="0" w:oddVBand="0" w:evenVBand="0" w:oddHBand="0" w:evenHBand="0" w:firstRowFirstColumn="0" w:firstRowLastColumn="0" w:lastRowFirstColumn="0" w:lastRowLastColumn="0"/>
              <w:rPr>
                <w:sz w:val="20"/>
                <w:szCs w:val="20"/>
              </w:rPr>
            </w:pPr>
            <w:r w:rsidRPr="00600753">
              <w:rPr>
                <w:sz w:val="20"/>
                <w:szCs w:val="20"/>
              </w:rPr>
              <w:t xml:space="preserve">Produce written reports as required including evaluation and impact statements for distribution service/organisational wide. </w:t>
            </w:r>
          </w:p>
          <w:p w14:paraId="117750CD" w14:textId="69914197" w:rsidR="0057062E" w:rsidRPr="00600753" w:rsidRDefault="0057062E" w:rsidP="0057062E">
            <w:pPr>
              <w:pStyle w:val="ListParagraph"/>
              <w:numPr>
                <w:ilvl w:val="0"/>
                <w:numId w:val="5"/>
              </w:numPr>
              <w:spacing w:after="0" w:line="253" w:lineRule="atLeast"/>
              <w:cnfStyle w:val="000000000000" w:firstRow="0" w:lastRow="0" w:firstColumn="0" w:lastColumn="0" w:oddVBand="0" w:evenVBand="0" w:oddHBand="0" w:evenHBand="0" w:firstRowFirstColumn="0" w:firstRowLastColumn="0" w:lastRowFirstColumn="0" w:lastRowLastColumn="0"/>
              <w:rPr>
                <w:sz w:val="20"/>
                <w:szCs w:val="20"/>
              </w:rPr>
            </w:pPr>
            <w:r w:rsidRPr="00600753">
              <w:rPr>
                <w:sz w:val="20"/>
                <w:szCs w:val="20"/>
              </w:rPr>
              <w:t xml:space="preserve">Use relevant IT systems and tools to support the management, delivery and development of services, ensuring records are accurate and current. </w:t>
            </w:r>
          </w:p>
          <w:p w14:paraId="22BE02B3" w14:textId="2963847E" w:rsidR="0057062E" w:rsidRPr="00600753" w:rsidRDefault="0057062E" w:rsidP="0057062E">
            <w:pPr>
              <w:pStyle w:val="ListParagraph"/>
              <w:numPr>
                <w:ilvl w:val="0"/>
                <w:numId w:val="5"/>
              </w:numPr>
              <w:spacing w:after="0" w:line="253" w:lineRule="atLeast"/>
              <w:cnfStyle w:val="000000000000" w:firstRow="0" w:lastRow="0" w:firstColumn="0" w:lastColumn="0" w:oddVBand="0" w:evenVBand="0" w:oddHBand="0" w:evenHBand="0" w:firstRowFirstColumn="0" w:firstRowLastColumn="0" w:lastRowFirstColumn="0" w:lastRowLastColumn="0"/>
              <w:rPr>
                <w:sz w:val="20"/>
                <w:szCs w:val="20"/>
              </w:rPr>
            </w:pPr>
            <w:r w:rsidRPr="00600753">
              <w:rPr>
                <w:sz w:val="20"/>
                <w:szCs w:val="20"/>
              </w:rPr>
              <w:t>Ensure government guidance and legislation are interpreted appropriately and are adhered to in a manner consistent with good practice.</w:t>
            </w:r>
          </w:p>
        </w:tc>
      </w:tr>
      <w:tr w:rsidR="00747208" w:rsidRPr="003A4001" w14:paraId="42391CD4" w14:textId="77777777" w:rsidTr="52004F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tcPr>
          <w:p w14:paraId="715A81D8" w14:textId="2162C478" w:rsidR="00747208" w:rsidRPr="003A4001" w:rsidRDefault="00747208" w:rsidP="00747208">
            <w:pPr>
              <w:tabs>
                <w:tab w:val="num" w:pos="1610"/>
              </w:tabs>
              <w:rPr>
                <w:b w:val="0"/>
                <w:bCs w:val="0"/>
                <w:sz w:val="20"/>
                <w:szCs w:val="20"/>
              </w:rPr>
            </w:pPr>
            <w:r w:rsidRPr="003A4001">
              <w:rPr>
                <w:sz w:val="20"/>
                <w:szCs w:val="20"/>
              </w:rPr>
              <w:lastRenderedPageBreak/>
              <w:t>Strategic management</w:t>
            </w:r>
          </w:p>
        </w:tc>
        <w:tc>
          <w:tcPr>
            <w:tcW w:w="7447" w:type="dxa"/>
            <w:tcBorders>
              <w:top w:val="none" w:sz="0" w:space="0" w:color="auto"/>
              <w:bottom w:val="none" w:sz="0" w:space="0" w:color="auto"/>
              <w:right w:val="none" w:sz="0" w:space="0" w:color="auto"/>
            </w:tcBorders>
          </w:tcPr>
          <w:p w14:paraId="311EF2DA" w14:textId="77777777" w:rsidR="00002DB5" w:rsidRPr="00600753" w:rsidRDefault="00002DB5" w:rsidP="00C7657A">
            <w:pPr>
              <w:pStyle w:val="ListParagraph"/>
              <w:numPr>
                <w:ilvl w:val="0"/>
                <w:numId w:val="5"/>
              </w:numPr>
              <w:spacing w:after="0" w:line="253" w:lineRule="atLeas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Lead risk management across the Combined Authority (excluding Police and Fire), ensuring risks are identified, assessed, owned, and reported within directorates and teams.</w:t>
            </w:r>
          </w:p>
          <w:p w14:paraId="0B575497" w14:textId="22AE73A7" w:rsidR="00002DB5" w:rsidRPr="00600753" w:rsidRDefault="00002DB5" w:rsidP="00C7657A">
            <w:pPr>
              <w:pStyle w:val="ListParagraph"/>
              <w:numPr>
                <w:ilvl w:val="0"/>
                <w:numId w:val="5"/>
              </w:numPr>
              <w:spacing w:after="0" w:line="253" w:lineRule="atLeas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Support senior leadership in developing management and reporting systems, advising on system setup and collaborating on programme monitoring tools.</w:t>
            </w:r>
          </w:p>
          <w:p w14:paraId="108C8825" w14:textId="51976C17" w:rsidR="00B500E2" w:rsidRPr="00600753" w:rsidRDefault="00E670CC" w:rsidP="00C7657A">
            <w:pPr>
              <w:pStyle w:val="ListParagraph"/>
              <w:numPr>
                <w:ilvl w:val="0"/>
                <w:numId w:val="5"/>
              </w:numPr>
              <w:spacing w:after="0" w:line="253" w:lineRule="atLeas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Develop</w:t>
            </w:r>
            <w:r w:rsidR="00B500E2" w:rsidRPr="00600753">
              <w:rPr>
                <w:rFonts w:eastAsia="Times New Roman"/>
                <w:sz w:val="20"/>
                <w:szCs w:val="20"/>
                <w:lang w:eastAsia="en-GB"/>
              </w:rPr>
              <w:t xml:space="preserve"> the Organisations “Assurance Map” ensuring the authority understands how it gains assurance around </w:t>
            </w:r>
            <w:r w:rsidR="0028736E" w:rsidRPr="00600753">
              <w:rPr>
                <w:rFonts w:eastAsia="Times New Roman"/>
                <w:sz w:val="20"/>
                <w:szCs w:val="20"/>
                <w:lang w:eastAsia="en-GB"/>
              </w:rPr>
              <w:t>risk</w:t>
            </w:r>
            <w:r w:rsidR="00B500E2" w:rsidRPr="00600753">
              <w:rPr>
                <w:rFonts w:eastAsia="Times New Roman"/>
                <w:sz w:val="20"/>
                <w:szCs w:val="20"/>
                <w:lang w:eastAsia="en-GB"/>
              </w:rPr>
              <w:t xml:space="preserve"> management, controls and wider compliance across the organisation</w:t>
            </w:r>
          </w:p>
          <w:p w14:paraId="3054CB98" w14:textId="77777777" w:rsidR="00002DB5" w:rsidRPr="00600753" w:rsidRDefault="00002DB5" w:rsidP="00C7657A">
            <w:pPr>
              <w:pStyle w:val="ListParagraph"/>
              <w:numPr>
                <w:ilvl w:val="0"/>
                <w:numId w:val="5"/>
              </w:numPr>
              <w:spacing w:after="0" w:line="253" w:lineRule="atLeas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Develop and manage the organisation’s business planning cycle timetable.</w:t>
            </w:r>
          </w:p>
          <w:p w14:paraId="40135C89" w14:textId="77777777" w:rsidR="00002DB5" w:rsidRPr="00600753" w:rsidRDefault="00002DB5" w:rsidP="00C7657A">
            <w:pPr>
              <w:pStyle w:val="ListParagraph"/>
              <w:numPr>
                <w:ilvl w:val="0"/>
                <w:numId w:val="5"/>
              </w:numPr>
              <w:spacing w:after="0" w:line="253" w:lineRule="atLeas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Appraise funding applications and business cases, applying HMT Green Book principles to provide assurance to the Mayor, Members, and Leadership, and commissioning external appraisers when needed.</w:t>
            </w:r>
          </w:p>
          <w:p w14:paraId="41D1D733" w14:textId="77777777" w:rsidR="00002DB5" w:rsidRPr="00600753" w:rsidRDefault="00002DB5" w:rsidP="00C7657A">
            <w:pPr>
              <w:pStyle w:val="ListParagraph"/>
              <w:numPr>
                <w:ilvl w:val="0"/>
                <w:numId w:val="5"/>
              </w:numPr>
              <w:spacing w:after="0" w:line="253" w:lineRule="atLeast"/>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Lead the Government gateway review process, ensuring projects progress in line with agreed deadlines and milestones.</w:t>
            </w:r>
          </w:p>
          <w:p w14:paraId="7BDBBB14" w14:textId="76D9313E" w:rsidR="00D379D2" w:rsidRPr="00600753" w:rsidRDefault="00002DB5" w:rsidP="00C7657A">
            <w:pPr>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 xml:space="preserve">Manage </w:t>
            </w:r>
            <w:r w:rsidR="00A566E0" w:rsidRPr="00600753">
              <w:rPr>
                <w:rFonts w:eastAsia="Times New Roman"/>
                <w:sz w:val="20"/>
                <w:szCs w:val="20"/>
                <w:lang w:eastAsia="en-GB"/>
              </w:rPr>
              <w:t xml:space="preserve">assurance and performance related aspects of </w:t>
            </w:r>
            <w:r w:rsidRPr="00600753">
              <w:rPr>
                <w:rFonts w:eastAsia="Times New Roman"/>
                <w:sz w:val="20"/>
                <w:szCs w:val="20"/>
                <w:lang w:eastAsia="en-GB"/>
              </w:rPr>
              <w:t xml:space="preserve">the single settlement process with </w:t>
            </w:r>
            <w:r w:rsidR="00600753" w:rsidRPr="00600753">
              <w:rPr>
                <w:rFonts w:eastAsia="Times New Roman"/>
                <w:sz w:val="20"/>
                <w:szCs w:val="20"/>
                <w:lang w:eastAsia="en-GB"/>
              </w:rPr>
              <w:t>Government, advising</w:t>
            </w:r>
            <w:r w:rsidR="00C034C2" w:rsidRPr="00600753">
              <w:rPr>
                <w:rFonts w:eastAsia="Times New Roman"/>
                <w:sz w:val="20"/>
                <w:szCs w:val="20"/>
                <w:lang w:eastAsia="en-GB"/>
              </w:rPr>
              <w:t xml:space="preserve"> leadership on enhancements, process </w:t>
            </w:r>
            <w:proofErr w:type="gramStart"/>
            <w:r w:rsidR="00C034C2" w:rsidRPr="00600753">
              <w:rPr>
                <w:rFonts w:eastAsia="Times New Roman"/>
                <w:sz w:val="20"/>
                <w:szCs w:val="20"/>
                <w:lang w:eastAsia="en-GB"/>
              </w:rPr>
              <w:t>changes  and</w:t>
            </w:r>
            <w:proofErr w:type="gramEnd"/>
            <w:r w:rsidR="00C034C2" w:rsidRPr="00600753">
              <w:rPr>
                <w:rFonts w:eastAsia="Times New Roman"/>
                <w:sz w:val="20"/>
                <w:szCs w:val="20"/>
                <w:lang w:eastAsia="en-GB"/>
              </w:rPr>
              <w:t xml:space="preserve"> investments needed across Assurance Risk and performance to meet government benchmarks.</w:t>
            </w:r>
          </w:p>
          <w:p w14:paraId="0542E669" w14:textId="3FE548C4" w:rsidR="003465CF" w:rsidRPr="00600753" w:rsidRDefault="003465CF" w:rsidP="003465CF">
            <w:pPr>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 xml:space="preserve">Oversee directorate programmes promoting equality, diversity, inclusivity and human rights compliance, ensuring improvement in community public trust and confidence in public services. </w:t>
            </w:r>
          </w:p>
          <w:p w14:paraId="497EAE82" w14:textId="4B0A7293" w:rsidR="003465CF" w:rsidRPr="00600753" w:rsidRDefault="003465CF" w:rsidP="003465CF">
            <w:pPr>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lastRenderedPageBreak/>
              <w:t xml:space="preserve">Lead on the strategic development and delivery of evidence-based policy to achieve the directorate priorities. </w:t>
            </w:r>
          </w:p>
          <w:p w14:paraId="4D3C7529" w14:textId="7756437D" w:rsidR="003465CF" w:rsidRPr="00600753" w:rsidRDefault="003465CF" w:rsidP="003465CF">
            <w:pPr>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 xml:space="preserve">Serve as a member of the directorate’s management team, delivering to the directorate and corporate agendas. </w:t>
            </w:r>
          </w:p>
          <w:p w14:paraId="55AA54D0" w14:textId="77473EE7" w:rsidR="003465CF" w:rsidRPr="00600753" w:rsidRDefault="003465CF" w:rsidP="003465CF">
            <w:pPr>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Establish a culture and approach within the directorate, providing clear objectives and priorities which filter through to individual and team objectives that encourages and promotes performance management and improvement</w:t>
            </w:r>
            <w:r w:rsidR="002040D0" w:rsidRPr="00600753">
              <w:rPr>
                <w:rFonts w:eastAsia="Times New Roman"/>
                <w:sz w:val="20"/>
                <w:szCs w:val="20"/>
                <w:lang w:eastAsia="en-GB"/>
              </w:rPr>
              <w:t>.</w:t>
            </w:r>
          </w:p>
          <w:p w14:paraId="38341C94" w14:textId="2D420CDA" w:rsidR="003465CF" w:rsidRPr="00600753" w:rsidRDefault="003465CF" w:rsidP="003465CF">
            <w:pPr>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GB"/>
              </w:rPr>
            </w:pPr>
            <w:r w:rsidRPr="00600753">
              <w:rPr>
                <w:rFonts w:eastAsia="Times New Roman"/>
                <w:sz w:val="20"/>
                <w:szCs w:val="20"/>
                <w:lang w:eastAsia="en-GB"/>
              </w:rPr>
              <w:t>To ensure the service delivers on its reporting and accountability obligations</w:t>
            </w:r>
            <w:r w:rsidR="002040D0" w:rsidRPr="00600753">
              <w:rPr>
                <w:rFonts w:eastAsia="Times New Roman"/>
                <w:sz w:val="20"/>
                <w:szCs w:val="20"/>
                <w:lang w:eastAsia="en-GB"/>
              </w:rPr>
              <w:t>.</w:t>
            </w:r>
          </w:p>
        </w:tc>
      </w:tr>
      <w:tr w:rsidR="00747208" w:rsidRPr="003A4001" w14:paraId="117A6069" w14:textId="77777777" w:rsidTr="52004F64">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64658ADD" w14:textId="12D8C74E" w:rsidR="00747208" w:rsidRPr="003A4001" w:rsidRDefault="00747208" w:rsidP="00747208">
            <w:pPr>
              <w:tabs>
                <w:tab w:val="num" w:pos="1610"/>
              </w:tabs>
              <w:rPr>
                <w:b w:val="0"/>
                <w:bCs w:val="0"/>
                <w:sz w:val="20"/>
                <w:szCs w:val="20"/>
              </w:rPr>
            </w:pPr>
            <w:r w:rsidRPr="003A4001">
              <w:rPr>
                <w:sz w:val="20"/>
                <w:szCs w:val="20"/>
              </w:rPr>
              <w:lastRenderedPageBreak/>
              <w:t>Safeguarding</w:t>
            </w:r>
          </w:p>
        </w:tc>
        <w:tc>
          <w:tcPr>
            <w:tcW w:w="7447" w:type="dxa"/>
          </w:tcPr>
          <w:p w14:paraId="268D3015" w14:textId="3E2F5714" w:rsidR="00747208" w:rsidRPr="00600753" w:rsidRDefault="003E1F63" w:rsidP="00C7657A">
            <w:pPr>
              <w:pStyle w:val="ListParagraph"/>
              <w:numPr>
                <w:ilvl w:val="0"/>
                <w:numId w:val="5"/>
              </w:numPr>
              <w:spacing w:after="0" w:line="253" w:lineRule="atLeast"/>
              <w:cnfStyle w:val="000000000000" w:firstRow="0" w:lastRow="0" w:firstColumn="0" w:lastColumn="0" w:oddVBand="0" w:evenVBand="0" w:oddHBand="0" w:evenHBand="0" w:firstRowFirstColumn="0" w:firstRowLastColumn="0" w:lastRowFirstColumn="0" w:lastRowLastColumn="0"/>
              <w:rPr>
                <w:sz w:val="20"/>
                <w:szCs w:val="20"/>
              </w:rPr>
            </w:pPr>
            <w:r w:rsidRPr="00600753">
              <w:rPr>
                <w:rFonts w:eastAsia="Times New Roman"/>
                <w:sz w:val="20"/>
                <w:szCs w:val="20"/>
                <w:lang w:eastAsia="en-GB"/>
              </w:rPr>
              <w:t>Be</w:t>
            </w:r>
            <w:r w:rsidRPr="00600753">
              <w:rPr>
                <w:sz w:val="20"/>
                <w:szCs w:val="20"/>
              </w:rPr>
              <w:t xml:space="preserve"> committed to safeguarding and promote the welfare of vulnerable persons, raising concerns as appropriate.</w:t>
            </w:r>
          </w:p>
        </w:tc>
      </w:tr>
    </w:tbl>
    <w:p w14:paraId="64A4740A" w14:textId="12D3583B" w:rsidR="00212C81" w:rsidRPr="003A4001" w:rsidRDefault="00212C81" w:rsidP="00212C81">
      <w:pPr>
        <w:spacing w:after="0" w:line="240" w:lineRule="auto"/>
        <w:rPr>
          <w:color w:val="FF0000"/>
          <w:sz w:val="20"/>
          <w:szCs w:val="20"/>
        </w:rPr>
      </w:pPr>
    </w:p>
    <w:tbl>
      <w:tblPr>
        <w:tblStyle w:val="LightList-Accent3"/>
        <w:tblW w:w="5824" w:type="pct"/>
        <w:tblInd w:w="-719" w:type="dxa"/>
        <w:tblBorders>
          <w:top w:val="single" w:sz="4" w:space="0" w:color="008577"/>
          <w:left w:val="single" w:sz="4" w:space="0" w:color="008577"/>
          <w:bottom w:val="single" w:sz="4" w:space="0" w:color="008577"/>
          <w:right w:val="single" w:sz="4" w:space="0" w:color="008577"/>
          <w:insideH w:val="single" w:sz="4" w:space="0" w:color="008577"/>
          <w:insideV w:val="single" w:sz="4" w:space="0" w:color="008577"/>
        </w:tblBorders>
        <w:tblCellMar>
          <w:top w:w="57" w:type="dxa"/>
          <w:bottom w:w="57" w:type="dxa"/>
        </w:tblCellMar>
        <w:tblLook w:val="04A0" w:firstRow="1" w:lastRow="0" w:firstColumn="1" w:lastColumn="0" w:noHBand="0" w:noVBand="1"/>
      </w:tblPr>
      <w:tblGrid>
        <w:gridCol w:w="7120"/>
        <w:gridCol w:w="3382"/>
      </w:tblGrid>
      <w:tr w:rsidR="00212C81" w:rsidRPr="003A4001" w14:paraId="0EEBF2FD" w14:textId="77777777" w:rsidTr="2EE8CBF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8577"/>
            <w:vAlign w:val="center"/>
          </w:tcPr>
          <w:p w14:paraId="1404959A" w14:textId="77777777" w:rsidR="00212C81" w:rsidRPr="003A4001" w:rsidRDefault="00212C81" w:rsidP="00845AB2">
            <w:pPr>
              <w:spacing w:after="100" w:afterAutospacing="1"/>
              <w:rPr>
                <w:b w:val="0"/>
                <w:bCs w:val="0"/>
                <w:color w:val="44546A" w:themeColor="text2"/>
                <w:sz w:val="20"/>
                <w:szCs w:val="20"/>
              </w:rPr>
            </w:pPr>
            <w:r w:rsidRPr="003A4001">
              <w:rPr>
                <w:b w:val="0"/>
                <w:bCs w:val="0"/>
                <w:sz w:val="20"/>
                <w:szCs w:val="20"/>
              </w:rPr>
              <w:t>Person Specification</w:t>
            </w:r>
          </w:p>
        </w:tc>
      </w:tr>
      <w:tr w:rsidR="002871DB" w:rsidRPr="003A4001" w14:paraId="6069524C" w14:textId="77777777" w:rsidTr="2EE8CB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shd w:val="clear" w:color="auto" w:fill="FFFFFF" w:themeFill="background1"/>
            <w:vAlign w:val="center"/>
          </w:tcPr>
          <w:p w14:paraId="0CD596AD" w14:textId="77777777" w:rsidR="00212C81" w:rsidRPr="003A4001" w:rsidRDefault="00212C81" w:rsidP="00F645CA">
            <w:pPr>
              <w:rPr>
                <w:sz w:val="20"/>
                <w:szCs w:val="20"/>
              </w:rPr>
            </w:pPr>
            <w:r w:rsidRPr="003A4001">
              <w:rPr>
                <w:sz w:val="20"/>
                <w:szCs w:val="20"/>
              </w:rPr>
              <w:t>Essential upon appointment</w:t>
            </w:r>
          </w:p>
        </w:tc>
        <w:tc>
          <w:tcPr>
            <w:tcW w:w="1610" w:type="pct"/>
            <w:tcBorders>
              <w:top w:val="none" w:sz="0" w:space="0" w:color="auto"/>
              <w:bottom w:val="none" w:sz="0" w:space="0" w:color="auto"/>
              <w:right w:val="none" w:sz="0" w:space="0" w:color="auto"/>
            </w:tcBorders>
            <w:shd w:val="clear" w:color="auto" w:fill="E4F9F1"/>
            <w:vAlign w:val="center"/>
          </w:tcPr>
          <w:p w14:paraId="79021840" w14:textId="77777777" w:rsidR="00212C81" w:rsidRPr="003A4001" w:rsidRDefault="00212C81" w:rsidP="00F645CA">
            <w:pPr>
              <w:cnfStyle w:val="000000100000" w:firstRow="0" w:lastRow="0" w:firstColumn="0" w:lastColumn="0" w:oddVBand="0" w:evenVBand="0" w:oddHBand="1" w:evenHBand="0" w:firstRowFirstColumn="0" w:firstRowLastColumn="0" w:lastRowFirstColumn="0" w:lastRowLastColumn="0"/>
              <w:rPr>
                <w:b/>
                <w:sz w:val="20"/>
                <w:szCs w:val="20"/>
              </w:rPr>
            </w:pPr>
            <w:r w:rsidRPr="003A4001">
              <w:rPr>
                <w:b/>
                <w:sz w:val="20"/>
                <w:szCs w:val="20"/>
              </w:rPr>
              <w:t>Desirable on appointment</w:t>
            </w:r>
          </w:p>
        </w:tc>
      </w:tr>
      <w:tr w:rsidR="002871DB" w:rsidRPr="003A4001" w14:paraId="2F80E928" w14:textId="77777777" w:rsidTr="2EE8CBF9">
        <w:trPr>
          <w:trHeight w:val="397"/>
        </w:trPr>
        <w:tc>
          <w:tcPr>
            <w:cnfStyle w:val="001000000000" w:firstRow="0" w:lastRow="0" w:firstColumn="1" w:lastColumn="0" w:oddVBand="0" w:evenVBand="0" w:oddHBand="0" w:evenHBand="0" w:firstRowFirstColumn="0" w:firstRowLastColumn="0" w:lastRowFirstColumn="0" w:lastRowLastColumn="0"/>
            <w:tcW w:w="3390" w:type="pct"/>
            <w:shd w:val="clear" w:color="auto" w:fill="FFFFFF" w:themeFill="background1"/>
          </w:tcPr>
          <w:p w14:paraId="438721F9" w14:textId="77777777" w:rsidR="00212C81" w:rsidRPr="004B2EE8" w:rsidRDefault="00212C81" w:rsidP="00F645CA">
            <w:pPr>
              <w:rPr>
                <w:sz w:val="20"/>
                <w:szCs w:val="20"/>
              </w:rPr>
            </w:pPr>
            <w:r w:rsidRPr="004B2EE8">
              <w:rPr>
                <w:sz w:val="20"/>
                <w:szCs w:val="20"/>
              </w:rPr>
              <w:t>Knowledge</w:t>
            </w:r>
          </w:p>
          <w:p w14:paraId="381864F9" w14:textId="77777777" w:rsidR="006E7525" w:rsidRPr="004B2EE8" w:rsidRDefault="006E7525" w:rsidP="00C7657A">
            <w:pPr>
              <w:numPr>
                <w:ilvl w:val="0"/>
                <w:numId w:val="1"/>
              </w:numPr>
              <w:spacing w:after="0" w:line="240" w:lineRule="auto"/>
              <w:rPr>
                <w:b w:val="0"/>
                <w:sz w:val="20"/>
                <w:szCs w:val="20"/>
              </w:rPr>
            </w:pPr>
            <w:r w:rsidRPr="004B2EE8">
              <w:rPr>
                <w:b w:val="0"/>
                <w:sz w:val="20"/>
                <w:szCs w:val="20"/>
              </w:rPr>
              <w:t>Significant knowledge of current good practice standards both at local and national level in relation to the Economic Growth Investments</w:t>
            </w:r>
          </w:p>
          <w:p w14:paraId="1AE672D6" w14:textId="0715E109" w:rsidR="006E7525" w:rsidRPr="004B2EE8" w:rsidRDefault="006E7525" w:rsidP="00C7657A">
            <w:pPr>
              <w:numPr>
                <w:ilvl w:val="0"/>
                <w:numId w:val="1"/>
              </w:numPr>
              <w:spacing w:after="0" w:line="240" w:lineRule="auto"/>
              <w:rPr>
                <w:b w:val="0"/>
                <w:sz w:val="20"/>
                <w:szCs w:val="20"/>
              </w:rPr>
            </w:pPr>
            <w:r w:rsidRPr="004B2EE8">
              <w:rPr>
                <w:b w:val="0"/>
                <w:sz w:val="20"/>
                <w:szCs w:val="20"/>
              </w:rPr>
              <w:t>Knowledge of statutory requirements, including equality standards</w:t>
            </w:r>
            <w:r w:rsidR="003D4A10" w:rsidRPr="004B2EE8">
              <w:rPr>
                <w:b w:val="0"/>
                <w:sz w:val="20"/>
                <w:szCs w:val="20"/>
              </w:rPr>
              <w:t>.</w:t>
            </w:r>
          </w:p>
          <w:p w14:paraId="15D02F12" w14:textId="77777777" w:rsidR="006E7525" w:rsidRPr="004B2EE8" w:rsidRDefault="006E7525" w:rsidP="00C7657A">
            <w:pPr>
              <w:pStyle w:val="ListParagraph"/>
              <w:numPr>
                <w:ilvl w:val="0"/>
                <w:numId w:val="1"/>
              </w:numPr>
              <w:spacing w:after="0"/>
              <w:rPr>
                <w:sz w:val="20"/>
                <w:szCs w:val="20"/>
              </w:rPr>
            </w:pPr>
            <w:r w:rsidRPr="004B2EE8">
              <w:rPr>
                <w:b w:val="0"/>
                <w:sz w:val="20"/>
                <w:szCs w:val="20"/>
              </w:rPr>
              <w:t>Knowledge of effective management of staff, budgets and resources.</w:t>
            </w:r>
          </w:p>
          <w:p w14:paraId="6EAA8946" w14:textId="68D9E750" w:rsidR="006E7525" w:rsidRPr="004B2EE8" w:rsidRDefault="006E7525" w:rsidP="00C7657A">
            <w:pPr>
              <w:pStyle w:val="ListParagraph"/>
              <w:numPr>
                <w:ilvl w:val="0"/>
                <w:numId w:val="1"/>
              </w:numPr>
              <w:spacing w:after="0" w:line="240" w:lineRule="auto"/>
              <w:rPr>
                <w:b w:val="0"/>
                <w:sz w:val="20"/>
                <w:szCs w:val="20"/>
              </w:rPr>
            </w:pPr>
            <w:r w:rsidRPr="004B2EE8">
              <w:rPr>
                <w:b w:val="0"/>
                <w:sz w:val="20"/>
                <w:szCs w:val="20"/>
              </w:rPr>
              <w:t>In depth knowledge of the current UK economic framework with which the Combined Authority operates.</w:t>
            </w:r>
          </w:p>
          <w:p w14:paraId="1F612410" w14:textId="5F900FD3" w:rsidR="006E7525" w:rsidRPr="004B2EE8" w:rsidRDefault="006E7525" w:rsidP="00C7657A">
            <w:pPr>
              <w:pStyle w:val="ListParagraph"/>
              <w:numPr>
                <w:ilvl w:val="0"/>
                <w:numId w:val="1"/>
              </w:numPr>
              <w:spacing w:after="0" w:line="240" w:lineRule="auto"/>
              <w:rPr>
                <w:b w:val="0"/>
                <w:sz w:val="20"/>
                <w:szCs w:val="20"/>
              </w:rPr>
            </w:pPr>
            <w:r w:rsidRPr="004B2EE8">
              <w:rPr>
                <w:b w:val="0"/>
                <w:sz w:val="20"/>
                <w:szCs w:val="20"/>
              </w:rPr>
              <w:t>Thorough understanding of the Combined Authorit</w:t>
            </w:r>
            <w:r w:rsidR="008D3B66" w:rsidRPr="004B2EE8">
              <w:rPr>
                <w:b w:val="0"/>
                <w:sz w:val="20"/>
                <w:szCs w:val="20"/>
              </w:rPr>
              <w:t xml:space="preserve">y’s </w:t>
            </w:r>
            <w:r w:rsidR="008577B8" w:rsidRPr="004B2EE8">
              <w:rPr>
                <w:b w:val="0"/>
                <w:sz w:val="20"/>
                <w:szCs w:val="20"/>
              </w:rPr>
              <w:t>Growth</w:t>
            </w:r>
            <w:r w:rsidRPr="004B2EE8">
              <w:rPr>
                <w:b w:val="0"/>
                <w:sz w:val="20"/>
                <w:szCs w:val="20"/>
              </w:rPr>
              <w:t xml:space="preserve"> Plan.</w:t>
            </w:r>
          </w:p>
          <w:p w14:paraId="6CB1475C" w14:textId="77777777" w:rsidR="006E7525" w:rsidRPr="004B2EE8" w:rsidRDefault="006E7525" w:rsidP="00C7657A">
            <w:pPr>
              <w:pStyle w:val="ListParagraph"/>
              <w:numPr>
                <w:ilvl w:val="0"/>
                <w:numId w:val="1"/>
              </w:numPr>
              <w:spacing w:after="0"/>
              <w:rPr>
                <w:sz w:val="20"/>
                <w:szCs w:val="20"/>
              </w:rPr>
            </w:pPr>
            <w:r w:rsidRPr="004B2EE8">
              <w:rPr>
                <w:b w:val="0"/>
                <w:sz w:val="20"/>
                <w:szCs w:val="20"/>
              </w:rPr>
              <w:t>Practical knowledge of HMT Green Book appraisal principles.</w:t>
            </w:r>
          </w:p>
          <w:p w14:paraId="680B948C" w14:textId="77777777" w:rsidR="006E7525" w:rsidRPr="004B2EE8" w:rsidRDefault="006E7525" w:rsidP="00C7657A">
            <w:pPr>
              <w:pStyle w:val="ListParagraph"/>
              <w:numPr>
                <w:ilvl w:val="0"/>
                <w:numId w:val="1"/>
              </w:numPr>
              <w:spacing w:after="0"/>
              <w:rPr>
                <w:sz w:val="20"/>
                <w:szCs w:val="20"/>
              </w:rPr>
            </w:pPr>
            <w:r w:rsidRPr="004B2EE8">
              <w:rPr>
                <w:b w:val="0"/>
                <w:sz w:val="20"/>
                <w:szCs w:val="20"/>
              </w:rPr>
              <w:t xml:space="preserve">Knowledge of investment evaluation tools (e.g. </w:t>
            </w:r>
            <w:proofErr w:type="spellStart"/>
            <w:r w:rsidRPr="004B2EE8">
              <w:rPr>
                <w:b w:val="0"/>
                <w:sz w:val="20"/>
                <w:szCs w:val="20"/>
              </w:rPr>
              <w:t>webTAG</w:t>
            </w:r>
            <w:proofErr w:type="spellEnd"/>
            <w:r w:rsidRPr="004B2EE8">
              <w:rPr>
                <w:b w:val="0"/>
                <w:sz w:val="20"/>
                <w:szCs w:val="20"/>
              </w:rPr>
              <w:t>, cost/benefit)</w:t>
            </w:r>
          </w:p>
          <w:p w14:paraId="1F4EB014" w14:textId="5BE6C2DD" w:rsidR="006E7525" w:rsidRPr="004B2EE8" w:rsidRDefault="008577B8" w:rsidP="00C7657A">
            <w:pPr>
              <w:pStyle w:val="ListParagraph"/>
              <w:numPr>
                <w:ilvl w:val="0"/>
                <w:numId w:val="1"/>
              </w:numPr>
              <w:spacing w:after="0" w:line="240" w:lineRule="auto"/>
              <w:contextualSpacing w:val="0"/>
              <w:rPr>
                <w:b w:val="0"/>
                <w:sz w:val="20"/>
                <w:szCs w:val="20"/>
              </w:rPr>
            </w:pPr>
            <w:r w:rsidRPr="004B2EE8">
              <w:rPr>
                <w:b w:val="0"/>
                <w:sz w:val="20"/>
                <w:szCs w:val="20"/>
              </w:rPr>
              <w:t>Significant knowledge of</w:t>
            </w:r>
            <w:r w:rsidRPr="00E670CC">
              <w:rPr>
                <w:b w:val="0"/>
                <w:color w:val="FF0000"/>
                <w:sz w:val="20"/>
                <w:szCs w:val="20"/>
              </w:rPr>
              <w:t xml:space="preserve"> </w:t>
            </w:r>
            <w:r w:rsidR="002D71D0" w:rsidRPr="00600753">
              <w:rPr>
                <w:b w:val="0"/>
                <w:sz w:val="20"/>
                <w:szCs w:val="20"/>
              </w:rPr>
              <w:t xml:space="preserve">project </w:t>
            </w:r>
            <w:r w:rsidRPr="00600753">
              <w:rPr>
                <w:b w:val="0"/>
                <w:sz w:val="20"/>
                <w:szCs w:val="20"/>
              </w:rPr>
              <w:t>a</w:t>
            </w:r>
            <w:r w:rsidR="006E7525" w:rsidRPr="00600753">
              <w:rPr>
                <w:b w:val="0"/>
                <w:sz w:val="20"/>
                <w:szCs w:val="20"/>
              </w:rPr>
              <w:t xml:space="preserve">ssurance </w:t>
            </w:r>
            <w:r w:rsidR="006E7525" w:rsidRPr="004B2EE8">
              <w:rPr>
                <w:b w:val="0"/>
                <w:sz w:val="20"/>
                <w:szCs w:val="20"/>
              </w:rPr>
              <w:t>frameworks and compliance processes including the full project lifecycle.</w:t>
            </w:r>
          </w:p>
          <w:p w14:paraId="28C5B45A" w14:textId="77777777" w:rsidR="006E7525" w:rsidRPr="004B2EE8" w:rsidRDefault="006E7525" w:rsidP="00C7657A">
            <w:pPr>
              <w:pStyle w:val="ListParagraph"/>
              <w:numPr>
                <w:ilvl w:val="0"/>
                <w:numId w:val="1"/>
              </w:numPr>
              <w:spacing w:after="0" w:line="240" w:lineRule="auto"/>
              <w:contextualSpacing w:val="0"/>
              <w:rPr>
                <w:b w:val="0"/>
                <w:sz w:val="20"/>
                <w:szCs w:val="20"/>
              </w:rPr>
            </w:pPr>
            <w:r w:rsidRPr="004B2EE8">
              <w:rPr>
                <w:b w:val="0"/>
                <w:sz w:val="20"/>
                <w:szCs w:val="20"/>
              </w:rPr>
              <w:t>An understanding of contract management processes and UK law in relation to contracting.</w:t>
            </w:r>
          </w:p>
          <w:p w14:paraId="43A4A64E" w14:textId="08877AB8" w:rsidR="006E7525" w:rsidRPr="004B2EE8" w:rsidRDefault="006E7525" w:rsidP="00C7657A">
            <w:pPr>
              <w:pStyle w:val="ListParagraph"/>
              <w:numPr>
                <w:ilvl w:val="0"/>
                <w:numId w:val="1"/>
              </w:numPr>
              <w:spacing w:after="0" w:line="240" w:lineRule="auto"/>
              <w:contextualSpacing w:val="0"/>
              <w:rPr>
                <w:b w:val="0"/>
                <w:sz w:val="20"/>
                <w:szCs w:val="20"/>
              </w:rPr>
            </w:pPr>
            <w:r w:rsidRPr="004B2EE8">
              <w:rPr>
                <w:b w:val="0"/>
                <w:sz w:val="20"/>
                <w:szCs w:val="20"/>
              </w:rPr>
              <w:t>An understanding of State Aid</w:t>
            </w:r>
            <w:r w:rsidR="00913697" w:rsidRPr="004B2EE8">
              <w:rPr>
                <w:b w:val="0"/>
                <w:sz w:val="20"/>
                <w:szCs w:val="20"/>
              </w:rPr>
              <w:t>/Subsidy Control</w:t>
            </w:r>
            <w:r w:rsidRPr="004B2EE8">
              <w:rPr>
                <w:b w:val="0"/>
                <w:sz w:val="20"/>
                <w:szCs w:val="20"/>
              </w:rPr>
              <w:t xml:space="preserve"> principles and requirements.</w:t>
            </w:r>
          </w:p>
          <w:p w14:paraId="1E8CCE5D" w14:textId="77777777" w:rsidR="006E7525" w:rsidRPr="004B2EE8" w:rsidRDefault="006E7525" w:rsidP="00C7657A">
            <w:pPr>
              <w:pStyle w:val="ListParagraph"/>
              <w:numPr>
                <w:ilvl w:val="0"/>
                <w:numId w:val="1"/>
              </w:numPr>
              <w:spacing w:after="0" w:line="240" w:lineRule="auto"/>
              <w:contextualSpacing w:val="0"/>
              <w:rPr>
                <w:b w:val="0"/>
                <w:sz w:val="20"/>
                <w:szCs w:val="20"/>
              </w:rPr>
            </w:pPr>
            <w:r w:rsidRPr="004B2EE8">
              <w:rPr>
                <w:b w:val="0"/>
                <w:sz w:val="20"/>
                <w:szCs w:val="20"/>
              </w:rPr>
              <w:t>An understanding of budget setting and financial management.</w:t>
            </w:r>
          </w:p>
          <w:p w14:paraId="62046D75" w14:textId="0E312940" w:rsidR="002777C3" w:rsidRPr="00E670CC" w:rsidRDefault="006E7525" w:rsidP="00C7657A">
            <w:pPr>
              <w:numPr>
                <w:ilvl w:val="0"/>
                <w:numId w:val="1"/>
              </w:numPr>
              <w:spacing w:after="0" w:line="240" w:lineRule="auto"/>
              <w:rPr>
                <w:b w:val="0"/>
                <w:sz w:val="20"/>
                <w:szCs w:val="20"/>
              </w:rPr>
            </w:pPr>
            <w:r w:rsidRPr="004B2EE8">
              <w:rPr>
                <w:b w:val="0"/>
                <w:sz w:val="20"/>
                <w:szCs w:val="20"/>
              </w:rPr>
              <w:t xml:space="preserve">An understanding of commercial financial appraisal e.g. analysis of business case proposal, balance sheet and cashflow appraisal, credit risk </w:t>
            </w:r>
            <w:r w:rsidR="00E670CC">
              <w:rPr>
                <w:b w:val="0"/>
                <w:sz w:val="20"/>
                <w:szCs w:val="20"/>
              </w:rPr>
              <w:t>k</w:t>
            </w:r>
            <w:r w:rsidRPr="004B2EE8">
              <w:rPr>
                <w:b w:val="0"/>
                <w:sz w:val="20"/>
                <w:szCs w:val="20"/>
              </w:rPr>
              <w:t>nowledge</w:t>
            </w:r>
            <w:r w:rsidR="002777C3" w:rsidRPr="004B2EE8">
              <w:rPr>
                <w:b w:val="0"/>
                <w:sz w:val="20"/>
                <w:szCs w:val="20"/>
              </w:rPr>
              <w:t>.</w:t>
            </w:r>
          </w:p>
          <w:p w14:paraId="3CF220A0" w14:textId="7D04DEA2" w:rsidR="002777C3" w:rsidRPr="002777C3" w:rsidRDefault="002777C3" w:rsidP="00E670CC">
            <w:pPr>
              <w:spacing w:after="0" w:line="240" w:lineRule="auto"/>
              <w:ind w:left="360"/>
              <w:rPr>
                <w:b w:val="0"/>
                <w:color w:val="7030A0"/>
                <w:sz w:val="20"/>
                <w:szCs w:val="20"/>
              </w:rPr>
            </w:pPr>
          </w:p>
        </w:tc>
        <w:tc>
          <w:tcPr>
            <w:tcW w:w="1610" w:type="pct"/>
            <w:shd w:val="clear" w:color="auto" w:fill="E4F9F1"/>
          </w:tcPr>
          <w:p w14:paraId="6B68D359" w14:textId="431AE2AE" w:rsidR="00212C81" w:rsidRPr="003A4001" w:rsidRDefault="00212C81" w:rsidP="743A2D7C">
            <w:pPr>
              <w:spacing w:after="0" w:line="240" w:lineRule="auto"/>
              <w:cnfStyle w:val="000000000000" w:firstRow="0" w:lastRow="0" w:firstColumn="0" w:lastColumn="0" w:oddVBand="0" w:evenVBand="0" w:oddHBand="0" w:evenHBand="0" w:firstRowFirstColumn="0" w:firstRowLastColumn="0" w:lastRowFirstColumn="0" w:lastRowLastColumn="0"/>
              <w:rPr>
                <w:bCs/>
                <w:sz w:val="20"/>
                <w:szCs w:val="20"/>
              </w:rPr>
            </w:pPr>
          </w:p>
        </w:tc>
      </w:tr>
      <w:tr w:rsidR="002871DB" w:rsidRPr="003A4001" w14:paraId="58DED94F" w14:textId="77777777" w:rsidTr="2EE8CB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shd w:val="clear" w:color="auto" w:fill="FFFFFF" w:themeFill="background1"/>
          </w:tcPr>
          <w:p w14:paraId="7F7D65B0" w14:textId="77777777" w:rsidR="00212C81" w:rsidRPr="003A4001" w:rsidRDefault="00212C81" w:rsidP="00F645CA">
            <w:pPr>
              <w:rPr>
                <w:sz w:val="20"/>
                <w:szCs w:val="20"/>
              </w:rPr>
            </w:pPr>
            <w:r w:rsidRPr="003A4001">
              <w:rPr>
                <w:sz w:val="20"/>
                <w:szCs w:val="20"/>
              </w:rPr>
              <w:t>Experience</w:t>
            </w:r>
          </w:p>
          <w:p w14:paraId="584801A0" w14:textId="77777777" w:rsidR="00212C81" w:rsidRPr="004B2EE8" w:rsidRDefault="005E31D6" w:rsidP="00C7657A">
            <w:pPr>
              <w:numPr>
                <w:ilvl w:val="0"/>
                <w:numId w:val="2"/>
              </w:numPr>
              <w:spacing w:after="0" w:line="240" w:lineRule="auto"/>
              <w:rPr>
                <w:b w:val="0"/>
                <w:bCs w:val="0"/>
                <w:sz w:val="20"/>
                <w:szCs w:val="20"/>
              </w:rPr>
            </w:pPr>
            <w:r w:rsidRPr="004B2EE8">
              <w:rPr>
                <w:b w:val="0"/>
                <w:bCs w:val="0"/>
                <w:sz w:val="20"/>
                <w:szCs w:val="20"/>
              </w:rPr>
              <w:t>Proven experience in line management, including recruitment, conducting one-to-one meetings, and leading performance appraisals.</w:t>
            </w:r>
          </w:p>
          <w:p w14:paraId="5D7348F1" w14:textId="4BB293CA" w:rsidR="004043A3" w:rsidRPr="004B2EE8" w:rsidRDefault="004043A3" w:rsidP="00C7657A">
            <w:pPr>
              <w:numPr>
                <w:ilvl w:val="0"/>
                <w:numId w:val="2"/>
              </w:numPr>
              <w:spacing w:after="0" w:line="240" w:lineRule="auto"/>
              <w:rPr>
                <w:b w:val="0"/>
                <w:sz w:val="20"/>
                <w:szCs w:val="20"/>
              </w:rPr>
            </w:pPr>
            <w:r w:rsidRPr="004B2EE8">
              <w:rPr>
                <w:b w:val="0"/>
                <w:sz w:val="20"/>
                <w:szCs w:val="20"/>
                <w:lang w:val="en-US"/>
              </w:rPr>
              <w:t>Extensive experience of strategic planning, policy development and implementation, and performance management together with management of assurance frameworks</w:t>
            </w:r>
          </w:p>
          <w:p w14:paraId="2AC21C05" w14:textId="04FA3AB2" w:rsidR="004043A3" w:rsidRPr="004B2EE8" w:rsidRDefault="004043A3" w:rsidP="00C7657A">
            <w:pPr>
              <w:numPr>
                <w:ilvl w:val="0"/>
                <w:numId w:val="2"/>
              </w:numPr>
              <w:spacing w:after="0" w:line="240" w:lineRule="auto"/>
              <w:rPr>
                <w:b w:val="0"/>
                <w:sz w:val="20"/>
                <w:szCs w:val="20"/>
              </w:rPr>
            </w:pPr>
            <w:r w:rsidRPr="004B2EE8">
              <w:rPr>
                <w:b w:val="0"/>
                <w:sz w:val="20"/>
                <w:szCs w:val="20"/>
              </w:rPr>
              <w:t>Experience of developing and implementing organisational culture change within a large diverse organisation</w:t>
            </w:r>
            <w:r w:rsidR="00613EE8" w:rsidRPr="004B2EE8">
              <w:rPr>
                <w:b w:val="0"/>
                <w:sz w:val="20"/>
                <w:szCs w:val="20"/>
              </w:rPr>
              <w:t>.</w:t>
            </w:r>
          </w:p>
          <w:p w14:paraId="73B9B6D1" w14:textId="1790BF76" w:rsidR="004043A3" w:rsidRPr="004B2EE8" w:rsidRDefault="00F82AC3" w:rsidP="00C7657A">
            <w:pPr>
              <w:pStyle w:val="ListParagraph"/>
              <w:numPr>
                <w:ilvl w:val="0"/>
                <w:numId w:val="2"/>
              </w:numPr>
              <w:spacing w:after="0"/>
              <w:rPr>
                <w:sz w:val="20"/>
                <w:szCs w:val="20"/>
              </w:rPr>
            </w:pPr>
            <w:r w:rsidRPr="004B2EE8">
              <w:rPr>
                <w:b w:val="0"/>
                <w:sz w:val="20"/>
                <w:szCs w:val="20"/>
              </w:rPr>
              <w:t>Experience of s</w:t>
            </w:r>
            <w:r w:rsidR="004043A3" w:rsidRPr="004B2EE8">
              <w:rPr>
                <w:b w:val="0"/>
                <w:sz w:val="20"/>
                <w:szCs w:val="20"/>
              </w:rPr>
              <w:t>uccessful management of budgets</w:t>
            </w:r>
            <w:r w:rsidR="004962BB" w:rsidRPr="004B2EE8">
              <w:rPr>
                <w:b w:val="0"/>
                <w:sz w:val="20"/>
                <w:szCs w:val="20"/>
              </w:rPr>
              <w:t xml:space="preserve"> and target setting</w:t>
            </w:r>
            <w:r w:rsidR="00613EE8" w:rsidRPr="004B2EE8">
              <w:rPr>
                <w:b w:val="0"/>
                <w:sz w:val="20"/>
                <w:szCs w:val="20"/>
              </w:rPr>
              <w:t>.</w:t>
            </w:r>
          </w:p>
          <w:p w14:paraId="36A7694F" w14:textId="77777777" w:rsidR="004043A3" w:rsidRPr="004B2EE8" w:rsidRDefault="004043A3" w:rsidP="00C7657A">
            <w:pPr>
              <w:pStyle w:val="ListParagraph"/>
              <w:numPr>
                <w:ilvl w:val="0"/>
                <w:numId w:val="2"/>
              </w:numPr>
              <w:spacing w:after="0" w:line="240" w:lineRule="auto"/>
              <w:rPr>
                <w:b w:val="0"/>
                <w:sz w:val="20"/>
                <w:szCs w:val="20"/>
                <w:lang w:val="en-US"/>
              </w:rPr>
            </w:pPr>
            <w:r w:rsidRPr="004B2EE8">
              <w:rPr>
                <w:b w:val="0"/>
                <w:sz w:val="20"/>
                <w:szCs w:val="20"/>
                <w:lang w:val="en-US"/>
              </w:rPr>
              <w:t>Experience in leading and undertaking project appraisals using HMT Green Book principles to determine the wider economic and social benefits associated with investments and delivering challenging critique.</w:t>
            </w:r>
          </w:p>
          <w:p w14:paraId="4F7FDF6E" w14:textId="12105B6A" w:rsidR="004043A3" w:rsidRPr="004B2EE8" w:rsidRDefault="004043A3" w:rsidP="00C7657A">
            <w:pPr>
              <w:pStyle w:val="ListParagraph"/>
              <w:numPr>
                <w:ilvl w:val="0"/>
                <w:numId w:val="2"/>
              </w:numPr>
              <w:spacing w:after="0" w:line="240" w:lineRule="auto"/>
              <w:rPr>
                <w:b w:val="0"/>
                <w:sz w:val="20"/>
                <w:szCs w:val="20"/>
                <w:lang w:val="en-US"/>
              </w:rPr>
            </w:pPr>
            <w:r w:rsidRPr="004B2EE8">
              <w:rPr>
                <w:b w:val="0"/>
                <w:sz w:val="20"/>
                <w:szCs w:val="20"/>
                <w:lang w:val="en-US"/>
              </w:rPr>
              <w:t>Experience of presenting detailed information to internal colleagues and external stakeholders</w:t>
            </w:r>
            <w:r w:rsidR="00F82AC3" w:rsidRPr="004B2EE8">
              <w:rPr>
                <w:b w:val="0"/>
                <w:sz w:val="20"/>
                <w:szCs w:val="20"/>
                <w:lang w:val="en-US"/>
              </w:rPr>
              <w:t>/partners</w:t>
            </w:r>
            <w:r w:rsidRPr="004B2EE8">
              <w:rPr>
                <w:b w:val="0"/>
                <w:sz w:val="20"/>
                <w:szCs w:val="20"/>
                <w:lang w:val="en-US"/>
              </w:rPr>
              <w:t xml:space="preserve"> at all levels of seniority</w:t>
            </w:r>
            <w:r w:rsidR="004962BB" w:rsidRPr="004B2EE8">
              <w:rPr>
                <w:b w:val="0"/>
                <w:sz w:val="20"/>
                <w:szCs w:val="20"/>
                <w:lang w:val="en-US"/>
              </w:rPr>
              <w:t xml:space="preserve"> and Members</w:t>
            </w:r>
            <w:r w:rsidRPr="004B2EE8">
              <w:rPr>
                <w:b w:val="0"/>
                <w:sz w:val="20"/>
                <w:szCs w:val="20"/>
                <w:lang w:val="en-US"/>
              </w:rPr>
              <w:t>.</w:t>
            </w:r>
          </w:p>
          <w:p w14:paraId="77AB4FBB" w14:textId="77777777" w:rsidR="004043A3" w:rsidRPr="004B2EE8" w:rsidRDefault="004043A3" w:rsidP="00C7657A">
            <w:pPr>
              <w:pStyle w:val="ListParagraph"/>
              <w:numPr>
                <w:ilvl w:val="0"/>
                <w:numId w:val="2"/>
              </w:numPr>
              <w:spacing w:after="0" w:line="240" w:lineRule="auto"/>
              <w:rPr>
                <w:b w:val="0"/>
                <w:sz w:val="20"/>
                <w:szCs w:val="20"/>
                <w:lang w:val="en-US"/>
              </w:rPr>
            </w:pPr>
            <w:r w:rsidRPr="004B2EE8">
              <w:rPr>
                <w:b w:val="0"/>
                <w:sz w:val="20"/>
                <w:szCs w:val="20"/>
                <w:lang w:val="en-US"/>
              </w:rPr>
              <w:lastRenderedPageBreak/>
              <w:t>Experience of public sector procurement of services.</w:t>
            </w:r>
          </w:p>
          <w:p w14:paraId="249BDD70" w14:textId="79717E62" w:rsidR="004043A3" w:rsidRPr="004B2EE8" w:rsidRDefault="004B2EE8" w:rsidP="00C7657A">
            <w:pPr>
              <w:pStyle w:val="ListParagraph"/>
              <w:numPr>
                <w:ilvl w:val="0"/>
                <w:numId w:val="2"/>
              </w:numPr>
              <w:spacing w:after="0" w:line="240" w:lineRule="auto"/>
              <w:contextualSpacing w:val="0"/>
              <w:rPr>
                <w:b w:val="0"/>
                <w:color w:val="7030A0"/>
                <w:sz w:val="20"/>
                <w:szCs w:val="20"/>
              </w:rPr>
            </w:pPr>
            <w:r w:rsidRPr="004B2EE8">
              <w:rPr>
                <w:b w:val="0"/>
                <w:sz w:val="20"/>
                <w:szCs w:val="20"/>
              </w:rPr>
              <w:t>Experience of d</w:t>
            </w:r>
            <w:r w:rsidR="004043A3" w:rsidRPr="004B2EE8">
              <w:rPr>
                <w:b w:val="0"/>
                <w:sz w:val="20"/>
                <w:szCs w:val="20"/>
              </w:rPr>
              <w:t>eveloping and implementing work stream strategies in a large organisation</w:t>
            </w:r>
            <w:r w:rsidR="004962BB" w:rsidRPr="004B2EE8">
              <w:rPr>
                <w:b w:val="0"/>
                <w:sz w:val="20"/>
                <w:szCs w:val="20"/>
              </w:rPr>
              <w:t>.</w:t>
            </w:r>
          </w:p>
        </w:tc>
        <w:tc>
          <w:tcPr>
            <w:tcW w:w="1610" w:type="pct"/>
            <w:tcBorders>
              <w:top w:val="none" w:sz="0" w:space="0" w:color="auto"/>
              <w:bottom w:val="none" w:sz="0" w:space="0" w:color="auto"/>
              <w:right w:val="none" w:sz="0" w:space="0" w:color="auto"/>
            </w:tcBorders>
            <w:shd w:val="clear" w:color="auto" w:fill="E4F9F1"/>
          </w:tcPr>
          <w:p w14:paraId="0AF0F475" w14:textId="736CA65D" w:rsidR="00212C81" w:rsidRPr="003A4001" w:rsidRDefault="00212C81" w:rsidP="003A6661">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D54F1F" w:rsidRPr="003A4001" w14:paraId="73215AC6" w14:textId="77777777" w:rsidTr="2EE8CBF9">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78439D5D" w14:textId="77777777" w:rsidR="00212C81" w:rsidRPr="003A4001" w:rsidRDefault="00212C81" w:rsidP="00F645CA">
            <w:pPr>
              <w:rPr>
                <w:sz w:val="20"/>
                <w:szCs w:val="20"/>
              </w:rPr>
            </w:pPr>
            <w:r w:rsidRPr="003A4001">
              <w:rPr>
                <w:sz w:val="20"/>
                <w:szCs w:val="20"/>
              </w:rPr>
              <w:t>Occupational Skills</w:t>
            </w:r>
          </w:p>
          <w:p w14:paraId="276A4D73" w14:textId="108A675E" w:rsidR="001A161C" w:rsidRPr="001A161C" w:rsidRDefault="00BD30EF" w:rsidP="00C7657A">
            <w:pPr>
              <w:numPr>
                <w:ilvl w:val="0"/>
                <w:numId w:val="3"/>
              </w:numPr>
              <w:spacing w:after="0" w:line="240" w:lineRule="auto"/>
              <w:rPr>
                <w:rFonts w:eastAsia="Times New Roman"/>
                <w:b w:val="0"/>
                <w:bCs w:val="0"/>
                <w:color w:val="000000"/>
                <w:sz w:val="20"/>
                <w:szCs w:val="20"/>
                <w:lang w:eastAsia="en-GB"/>
              </w:rPr>
            </w:pPr>
            <w:r w:rsidRPr="003A4001">
              <w:rPr>
                <w:rFonts w:eastAsia="Times New Roman"/>
                <w:b w:val="0"/>
                <w:bCs w:val="0"/>
                <w:color w:val="000000"/>
                <w:sz w:val="20"/>
                <w:szCs w:val="20"/>
                <w:lang w:eastAsia="en-GB"/>
              </w:rPr>
              <w:t>Demonstrates the ability to produce clear and comprehensive reports tailored to a range of stakeholders, including the Combined Authority, Audit and Governance Committee, Leadership Team, and Overview and Scrutiny Panel.</w:t>
            </w:r>
          </w:p>
          <w:p w14:paraId="247EC8CA" w14:textId="77777777" w:rsidR="007828C3" w:rsidRPr="004B2EE8" w:rsidRDefault="007828C3" w:rsidP="00C7657A">
            <w:pPr>
              <w:numPr>
                <w:ilvl w:val="0"/>
                <w:numId w:val="3"/>
              </w:numPr>
              <w:spacing w:after="0" w:line="240" w:lineRule="auto"/>
              <w:rPr>
                <w:b w:val="0"/>
                <w:sz w:val="20"/>
                <w:szCs w:val="20"/>
              </w:rPr>
            </w:pPr>
            <w:r w:rsidRPr="004B2EE8">
              <w:rPr>
                <w:b w:val="0"/>
                <w:sz w:val="20"/>
                <w:szCs w:val="20"/>
              </w:rPr>
              <w:t>Effective leadership skills and the ability to promote organisational policy and objectives</w:t>
            </w:r>
          </w:p>
          <w:p w14:paraId="2EE9A668" w14:textId="77777777" w:rsidR="007828C3" w:rsidRPr="004B2EE8" w:rsidRDefault="007828C3" w:rsidP="00C7657A">
            <w:pPr>
              <w:numPr>
                <w:ilvl w:val="0"/>
                <w:numId w:val="3"/>
              </w:numPr>
              <w:spacing w:after="0" w:line="240" w:lineRule="auto"/>
              <w:rPr>
                <w:b w:val="0"/>
                <w:sz w:val="20"/>
                <w:szCs w:val="20"/>
              </w:rPr>
            </w:pPr>
            <w:r w:rsidRPr="004B2EE8">
              <w:rPr>
                <w:b w:val="0"/>
                <w:sz w:val="20"/>
                <w:szCs w:val="20"/>
              </w:rPr>
              <w:t>Management of diverse operational functions to deliver strategic objectives</w:t>
            </w:r>
          </w:p>
          <w:p w14:paraId="54A1AB86" w14:textId="77777777" w:rsidR="007828C3" w:rsidRPr="004B2EE8" w:rsidRDefault="007828C3" w:rsidP="00C7657A">
            <w:pPr>
              <w:numPr>
                <w:ilvl w:val="0"/>
                <w:numId w:val="3"/>
              </w:numPr>
              <w:spacing w:after="0" w:line="240" w:lineRule="auto"/>
              <w:rPr>
                <w:b w:val="0"/>
                <w:sz w:val="20"/>
                <w:szCs w:val="20"/>
              </w:rPr>
            </w:pPr>
            <w:r w:rsidRPr="004B2EE8">
              <w:rPr>
                <w:b w:val="0"/>
                <w:sz w:val="20"/>
                <w:szCs w:val="20"/>
              </w:rPr>
              <w:t>Enterprise skills including ability to develop and sustain effective income generation, drive business cases and create viable business models for public benefit.</w:t>
            </w:r>
          </w:p>
          <w:p w14:paraId="388FD169" w14:textId="78EB0BA2" w:rsidR="00C619D8" w:rsidRPr="004B2EE8" w:rsidRDefault="614B9C50" w:rsidP="00C7657A">
            <w:pPr>
              <w:numPr>
                <w:ilvl w:val="0"/>
                <w:numId w:val="3"/>
              </w:numPr>
              <w:spacing w:after="0" w:line="240" w:lineRule="auto"/>
              <w:rPr>
                <w:b w:val="0"/>
                <w:bCs w:val="0"/>
                <w:sz w:val="20"/>
                <w:szCs w:val="20"/>
              </w:rPr>
            </w:pPr>
            <w:r w:rsidRPr="2EE8CBF9">
              <w:rPr>
                <w:b w:val="0"/>
                <w:bCs w:val="0"/>
                <w:sz w:val="20"/>
                <w:szCs w:val="20"/>
              </w:rPr>
              <w:t>Ability to contribute to the planning of resources and to understand where specific programmes need to collaborate to drive change.</w:t>
            </w:r>
          </w:p>
          <w:p w14:paraId="00616A1D" w14:textId="3E87572C" w:rsidR="00C619D8" w:rsidRPr="004B2EE8" w:rsidRDefault="00C619D8" w:rsidP="00C7657A">
            <w:pPr>
              <w:numPr>
                <w:ilvl w:val="0"/>
                <w:numId w:val="3"/>
              </w:numPr>
              <w:spacing w:after="0" w:line="240" w:lineRule="auto"/>
              <w:rPr>
                <w:b w:val="0"/>
                <w:sz w:val="20"/>
                <w:szCs w:val="20"/>
              </w:rPr>
            </w:pPr>
            <w:r w:rsidRPr="004B2EE8">
              <w:rPr>
                <w:b w:val="0"/>
                <w:sz w:val="20"/>
                <w:szCs w:val="20"/>
              </w:rPr>
              <w:t>Ability to develop and maintain effective partnerships both within and outside the Combined Authority.</w:t>
            </w:r>
          </w:p>
          <w:p w14:paraId="30C125AE" w14:textId="1FA4309C" w:rsidR="00212C81" w:rsidRPr="003A4001" w:rsidRDefault="00C619D8" w:rsidP="00C7657A">
            <w:pPr>
              <w:numPr>
                <w:ilvl w:val="0"/>
                <w:numId w:val="3"/>
              </w:numPr>
              <w:spacing w:after="0" w:line="240" w:lineRule="auto"/>
              <w:rPr>
                <w:i/>
                <w:sz w:val="20"/>
                <w:szCs w:val="20"/>
              </w:rPr>
            </w:pPr>
            <w:r w:rsidRPr="004B2EE8">
              <w:rPr>
                <w:b w:val="0"/>
                <w:sz w:val="20"/>
                <w:szCs w:val="20"/>
              </w:rPr>
              <w:t xml:space="preserve">Ability to negotiate and influence at a senior level with </w:t>
            </w:r>
            <w:r w:rsidR="00AA7AF2" w:rsidRPr="004B2EE8">
              <w:rPr>
                <w:b w:val="0"/>
                <w:sz w:val="20"/>
                <w:szCs w:val="20"/>
              </w:rPr>
              <w:t xml:space="preserve">Combined Authority’s leadership team </w:t>
            </w:r>
            <w:r w:rsidRPr="004B2EE8">
              <w:rPr>
                <w:b w:val="0"/>
                <w:sz w:val="20"/>
                <w:szCs w:val="20"/>
              </w:rPr>
              <w:t>and senior politicians.</w:t>
            </w:r>
          </w:p>
        </w:tc>
        <w:tc>
          <w:tcPr>
            <w:tcW w:w="1610" w:type="pct"/>
            <w:shd w:val="clear" w:color="auto" w:fill="E4F9F1"/>
          </w:tcPr>
          <w:p w14:paraId="5FF91ED9" w14:textId="77777777" w:rsidR="00212C81" w:rsidRPr="003A4001" w:rsidRDefault="00212C81" w:rsidP="003A666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2871DB" w:rsidRPr="003A4001" w14:paraId="39526ABD" w14:textId="77777777" w:rsidTr="2EE8CB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tcPr>
          <w:p w14:paraId="61A44601" w14:textId="77777777" w:rsidR="00212C81" w:rsidRPr="004B2EE8" w:rsidRDefault="00212C81" w:rsidP="00F645CA">
            <w:pPr>
              <w:rPr>
                <w:sz w:val="20"/>
                <w:szCs w:val="20"/>
              </w:rPr>
            </w:pPr>
            <w:r w:rsidRPr="004B2EE8">
              <w:rPr>
                <w:sz w:val="20"/>
                <w:szCs w:val="20"/>
              </w:rPr>
              <w:t>Professional Qualifications/Training/Registrations required by law, and/or essential for the performance of the role</w:t>
            </w:r>
          </w:p>
          <w:p w14:paraId="0A313EA6" w14:textId="05431ACD" w:rsidR="00212C81" w:rsidRPr="004B2EE8" w:rsidRDefault="005238C6" w:rsidP="00C7657A">
            <w:pPr>
              <w:pStyle w:val="ListParagraph"/>
              <w:numPr>
                <w:ilvl w:val="0"/>
                <w:numId w:val="1"/>
              </w:numPr>
              <w:spacing w:after="0" w:line="240" w:lineRule="auto"/>
              <w:rPr>
                <w:sz w:val="20"/>
                <w:szCs w:val="20"/>
              </w:rPr>
            </w:pPr>
            <w:r w:rsidRPr="004B2EE8">
              <w:rPr>
                <w:b w:val="0"/>
                <w:sz w:val="20"/>
                <w:szCs w:val="20"/>
              </w:rPr>
              <w:t xml:space="preserve">Professionally qualified in the specialist area, a degree </w:t>
            </w:r>
            <w:r w:rsidRPr="004B2EE8">
              <w:rPr>
                <w:b w:val="0"/>
                <w:sz w:val="20"/>
                <w:szCs w:val="20"/>
                <w:u w:val="single"/>
              </w:rPr>
              <w:t>OR</w:t>
            </w:r>
            <w:r w:rsidRPr="004B2EE8">
              <w:rPr>
                <w:b w:val="0"/>
                <w:sz w:val="20"/>
                <w:szCs w:val="20"/>
              </w:rPr>
              <w:t xml:space="preserve"> extensive demonstrable equivalent experience. </w:t>
            </w:r>
          </w:p>
        </w:tc>
        <w:tc>
          <w:tcPr>
            <w:tcW w:w="1610" w:type="pct"/>
            <w:tcBorders>
              <w:top w:val="none" w:sz="0" w:space="0" w:color="auto"/>
              <w:bottom w:val="none" w:sz="0" w:space="0" w:color="auto"/>
              <w:right w:val="none" w:sz="0" w:space="0" w:color="auto"/>
            </w:tcBorders>
            <w:shd w:val="clear" w:color="auto" w:fill="E4F9F1"/>
          </w:tcPr>
          <w:p w14:paraId="0AC4C1FB" w14:textId="0662117C" w:rsidR="00212C81" w:rsidRPr="00ED540C" w:rsidRDefault="5F9E79D4" w:rsidP="00C7657A">
            <w:pPr>
              <w:pStyle w:val="ListParagraph"/>
              <w:numPr>
                <w:ilvl w:val="0"/>
                <w:numId w:val="1"/>
              </w:numPr>
              <w:tabs>
                <w:tab w:val="num" w:pos="439"/>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2EE8CBF9">
              <w:rPr>
                <w:sz w:val="20"/>
                <w:szCs w:val="20"/>
              </w:rPr>
              <w:t>A recognised project management qualification.</w:t>
            </w:r>
          </w:p>
        </w:tc>
      </w:tr>
      <w:tr w:rsidR="00D54F1F" w:rsidRPr="003A4001" w14:paraId="617D651C" w14:textId="77777777" w:rsidTr="2EE8CBF9">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29D5A31D" w14:textId="77777777" w:rsidR="00212C81" w:rsidRPr="004B2EE8" w:rsidRDefault="00212C81" w:rsidP="00F645CA">
            <w:pPr>
              <w:rPr>
                <w:sz w:val="20"/>
                <w:szCs w:val="20"/>
              </w:rPr>
            </w:pPr>
            <w:r w:rsidRPr="004B2EE8">
              <w:rPr>
                <w:sz w:val="20"/>
                <w:szCs w:val="20"/>
              </w:rPr>
              <w:t>Other Requirements</w:t>
            </w:r>
          </w:p>
          <w:p w14:paraId="32314E82" w14:textId="3BACDDBF" w:rsidR="00593D1B" w:rsidRPr="004B2EE8" w:rsidRDefault="00593D1B" w:rsidP="00C7657A">
            <w:pPr>
              <w:numPr>
                <w:ilvl w:val="0"/>
                <w:numId w:val="3"/>
              </w:numPr>
              <w:spacing w:after="0" w:line="240" w:lineRule="auto"/>
              <w:rPr>
                <w:b w:val="0"/>
                <w:sz w:val="20"/>
                <w:szCs w:val="20"/>
              </w:rPr>
            </w:pPr>
            <w:r w:rsidRPr="004B2EE8">
              <w:rPr>
                <w:b w:val="0"/>
                <w:sz w:val="20"/>
                <w:szCs w:val="20"/>
              </w:rPr>
              <w:t>Flexibility with ability to strategically and practically contribute to the wider priorities of the team, as well as deliver personal workload.</w:t>
            </w:r>
          </w:p>
          <w:p w14:paraId="289D8CDF" w14:textId="7DAD19E9" w:rsidR="00593D1B" w:rsidRPr="004B2EE8" w:rsidRDefault="00593D1B" w:rsidP="00C7657A">
            <w:pPr>
              <w:numPr>
                <w:ilvl w:val="0"/>
                <w:numId w:val="3"/>
              </w:numPr>
              <w:spacing w:after="0" w:line="240" w:lineRule="auto"/>
              <w:rPr>
                <w:b w:val="0"/>
                <w:sz w:val="20"/>
                <w:szCs w:val="20"/>
              </w:rPr>
            </w:pPr>
            <w:r w:rsidRPr="004B2EE8">
              <w:rPr>
                <w:b w:val="0"/>
                <w:sz w:val="20"/>
                <w:szCs w:val="20"/>
              </w:rPr>
              <w:t xml:space="preserve">Able to work flexibly to meet the demands of the job including some out of hours working at either evenings or weekends. </w:t>
            </w:r>
          </w:p>
          <w:p w14:paraId="3F3210F7" w14:textId="35871269" w:rsidR="00593D1B" w:rsidRPr="004B2EE8" w:rsidRDefault="00593D1B" w:rsidP="00C7657A">
            <w:pPr>
              <w:numPr>
                <w:ilvl w:val="0"/>
                <w:numId w:val="3"/>
              </w:numPr>
              <w:spacing w:after="0" w:line="240" w:lineRule="auto"/>
              <w:rPr>
                <w:b w:val="0"/>
                <w:sz w:val="20"/>
                <w:szCs w:val="20"/>
              </w:rPr>
            </w:pPr>
            <w:r w:rsidRPr="004B2EE8">
              <w:rPr>
                <w:b w:val="0"/>
                <w:sz w:val="20"/>
                <w:szCs w:val="20"/>
              </w:rPr>
              <w:t xml:space="preserve">Committed to ensure equality and inclusion are demonstrated.  </w:t>
            </w:r>
          </w:p>
          <w:p w14:paraId="7EC1B848" w14:textId="5EDEE5AB" w:rsidR="00593D1B" w:rsidRPr="004B2EE8" w:rsidRDefault="00593D1B" w:rsidP="00C7657A">
            <w:pPr>
              <w:numPr>
                <w:ilvl w:val="0"/>
                <w:numId w:val="3"/>
              </w:numPr>
              <w:spacing w:after="0" w:line="240" w:lineRule="auto"/>
              <w:rPr>
                <w:b w:val="0"/>
                <w:sz w:val="20"/>
                <w:szCs w:val="20"/>
              </w:rPr>
            </w:pPr>
            <w:r w:rsidRPr="004B2EE8">
              <w:rPr>
                <w:b w:val="0"/>
                <w:sz w:val="20"/>
                <w:szCs w:val="20"/>
              </w:rPr>
              <w:t xml:space="preserve">Highly motivated and not easily discouraged. </w:t>
            </w:r>
          </w:p>
          <w:p w14:paraId="68C79937" w14:textId="16202670" w:rsidR="00593D1B" w:rsidRPr="004B2EE8" w:rsidRDefault="00593D1B" w:rsidP="00C7657A">
            <w:pPr>
              <w:numPr>
                <w:ilvl w:val="0"/>
                <w:numId w:val="3"/>
              </w:numPr>
              <w:spacing w:after="0" w:line="240" w:lineRule="auto"/>
              <w:rPr>
                <w:b w:val="0"/>
                <w:sz w:val="20"/>
                <w:szCs w:val="20"/>
              </w:rPr>
            </w:pPr>
            <w:r w:rsidRPr="004B2EE8">
              <w:rPr>
                <w:b w:val="0"/>
                <w:sz w:val="20"/>
                <w:szCs w:val="20"/>
              </w:rPr>
              <w:t xml:space="preserve">Personal and professional demeanour and credibility which commands the confidence of members, senior managers, staff, members, external partners and other stakeholders. </w:t>
            </w:r>
          </w:p>
          <w:p w14:paraId="4C4DC4F2" w14:textId="4B857308" w:rsidR="00593D1B" w:rsidRPr="004B2EE8" w:rsidRDefault="00593D1B" w:rsidP="00C7657A">
            <w:pPr>
              <w:numPr>
                <w:ilvl w:val="0"/>
                <w:numId w:val="3"/>
              </w:numPr>
              <w:spacing w:after="0" w:line="240" w:lineRule="auto"/>
              <w:rPr>
                <w:b w:val="0"/>
                <w:sz w:val="20"/>
                <w:szCs w:val="20"/>
              </w:rPr>
            </w:pPr>
            <w:r w:rsidRPr="004B2EE8">
              <w:rPr>
                <w:b w:val="0"/>
                <w:sz w:val="20"/>
                <w:szCs w:val="20"/>
              </w:rPr>
              <w:t xml:space="preserve">A high degree of probity and integrity and work within the constraints of a publicly funded service. </w:t>
            </w:r>
          </w:p>
          <w:p w14:paraId="5E895C51" w14:textId="24555114" w:rsidR="00593D1B" w:rsidRPr="004B2EE8" w:rsidRDefault="00593D1B" w:rsidP="00C7657A">
            <w:pPr>
              <w:numPr>
                <w:ilvl w:val="0"/>
                <w:numId w:val="3"/>
              </w:numPr>
              <w:spacing w:after="0" w:line="240" w:lineRule="auto"/>
              <w:rPr>
                <w:b w:val="0"/>
                <w:sz w:val="20"/>
                <w:szCs w:val="20"/>
              </w:rPr>
            </w:pPr>
            <w:r w:rsidRPr="004B2EE8">
              <w:rPr>
                <w:b w:val="0"/>
                <w:sz w:val="20"/>
                <w:szCs w:val="20"/>
              </w:rPr>
              <w:t xml:space="preserve">A commitment to learning and achievement. </w:t>
            </w:r>
          </w:p>
          <w:p w14:paraId="03DF49D5" w14:textId="08498C74" w:rsidR="00212C81" w:rsidRPr="004B2EE8" w:rsidRDefault="00593D1B" w:rsidP="00C7657A">
            <w:pPr>
              <w:numPr>
                <w:ilvl w:val="0"/>
                <w:numId w:val="3"/>
              </w:numPr>
              <w:spacing w:after="0" w:line="240" w:lineRule="auto"/>
              <w:rPr>
                <w:b w:val="0"/>
                <w:sz w:val="20"/>
                <w:szCs w:val="20"/>
              </w:rPr>
            </w:pPr>
            <w:r w:rsidRPr="004B2EE8">
              <w:rPr>
                <w:b w:val="0"/>
                <w:sz w:val="20"/>
                <w:szCs w:val="20"/>
              </w:rPr>
              <w:t xml:space="preserve">Able to travel for business purposes.  </w:t>
            </w:r>
          </w:p>
        </w:tc>
        <w:tc>
          <w:tcPr>
            <w:tcW w:w="1610" w:type="pct"/>
            <w:shd w:val="clear" w:color="auto" w:fill="E4F9F1"/>
          </w:tcPr>
          <w:p w14:paraId="28202FFF" w14:textId="77777777" w:rsidR="00212C81" w:rsidRPr="003A4001" w:rsidRDefault="00212C81" w:rsidP="00F645CA">
            <w:pPr>
              <w:ind w:left="176" w:hanging="142"/>
              <w:cnfStyle w:val="000000000000" w:firstRow="0" w:lastRow="0" w:firstColumn="0" w:lastColumn="0" w:oddVBand="0" w:evenVBand="0" w:oddHBand="0" w:evenHBand="0" w:firstRowFirstColumn="0" w:firstRowLastColumn="0" w:lastRowFirstColumn="0" w:lastRowLastColumn="0"/>
              <w:rPr>
                <w:sz w:val="20"/>
                <w:szCs w:val="20"/>
              </w:rPr>
            </w:pPr>
          </w:p>
          <w:p w14:paraId="75DE0547" w14:textId="77777777" w:rsidR="00212C81" w:rsidRPr="003A4001" w:rsidRDefault="00212C81" w:rsidP="00F645CA">
            <w:pPr>
              <w:cnfStyle w:val="000000000000" w:firstRow="0" w:lastRow="0" w:firstColumn="0" w:lastColumn="0" w:oddVBand="0" w:evenVBand="0" w:oddHBand="0" w:evenHBand="0" w:firstRowFirstColumn="0" w:firstRowLastColumn="0" w:lastRowFirstColumn="0" w:lastRowLastColumn="0"/>
              <w:rPr>
                <w:sz w:val="20"/>
                <w:szCs w:val="20"/>
              </w:rPr>
            </w:pPr>
          </w:p>
        </w:tc>
      </w:tr>
      <w:tr w:rsidR="002871DB" w:rsidRPr="003A4001" w14:paraId="3F4D61EF" w14:textId="77777777" w:rsidTr="2EE8CBF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vAlign w:val="center"/>
          </w:tcPr>
          <w:p w14:paraId="229CC7CD" w14:textId="77777777" w:rsidR="00212C81" w:rsidRPr="003A4001" w:rsidRDefault="00212C81" w:rsidP="00F645CA">
            <w:pPr>
              <w:rPr>
                <w:b w:val="0"/>
                <w:bCs w:val="0"/>
                <w:sz w:val="20"/>
                <w:szCs w:val="20"/>
              </w:rPr>
            </w:pPr>
            <w:r w:rsidRPr="003A4001">
              <w:rPr>
                <w:sz w:val="20"/>
                <w:szCs w:val="20"/>
              </w:rPr>
              <w:t xml:space="preserve">Behaviours </w:t>
            </w:r>
          </w:p>
          <w:p w14:paraId="73A9DB23" w14:textId="5AF7693C" w:rsidR="00964114" w:rsidRPr="003A4001" w:rsidRDefault="001F3666" w:rsidP="00C7657A">
            <w:pPr>
              <w:pStyle w:val="ListParagraph"/>
              <w:numPr>
                <w:ilvl w:val="0"/>
                <w:numId w:val="4"/>
              </w:numPr>
              <w:rPr>
                <w:b w:val="0"/>
                <w:bCs w:val="0"/>
                <w:sz w:val="20"/>
                <w:szCs w:val="20"/>
              </w:rPr>
            </w:pPr>
            <w:r w:rsidRPr="001F3666">
              <w:rPr>
                <w:b w:val="0"/>
                <w:color w:val="000000" w:themeColor="text1"/>
                <w:sz w:val="20"/>
                <w:szCs w:val="20"/>
              </w:rPr>
              <w:t>Committed to the development and demonstration of the corporate vision, values and behaviours</w:t>
            </w:r>
            <w:r w:rsidRPr="001F3666">
              <w:rPr>
                <w:rFonts w:ascii="Plus Jakarta Sans" w:hAnsi="Plus Jakarta Sans"/>
                <w:b w:val="0"/>
                <w:color w:val="000000" w:themeColor="text1"/>
                <w:sz w:val="20"/>
                <w:szCs w:val="20"/>
              </w:rPr>
              <w:t xml:space="preserve"> </w:t>
            </w:r>
            <w:hyperlink r:id="rId15" w:tgtFrame="_blank" w:history="1">
              <w:r w:rsidR="008875BE" w:rsidRPr="00FF4AE0">
                <w:rPr>
                  <w:rStyle w:val="Hyperlink"/>
                  <w:b w:val="0"/>
                  <w:bCs w:val="0"/>
                  <w:sz w:val="20"/>
                  <w:szCs w:val="20"/>
                </w:rPr>
                <w:t>YNYCA Values and Behaviours</w:t>
              </w:r>
            </w:hyperlink>
          </w:p>
        </w:tc>
        <w:tc>
          <w:tcPr>
            <w:tcW w:w="1610" w:type="pct"/>
            <w:tcBorders>
              <w:top w:val="none" w:sz="0" w:space="0" w:color="auto"/>
              <w:bottom w:val="none" w:sz="0" w:space="0" w:color="auto"/>
              <w:right w:val="none" w:sz="0" w:space="0" w:color="auto"/>
            </w:tcBorders>
            <w:shd w:val="clear" w:color="auto" w:fill="E4F9F1"/>
            <w:vAlign w:val="center"/>
          </w:tcPr>
          <w:p w14:paraId="5648BB7C" w14:textId="77777777" w:rsidR="00212C81" w:rsidRPr="003A4001" w:rsidRDefault="00212C81" w:rsidP="00F645CA">
            <w:pPr>
              <w:cnfStyle w:val="000000100000" w:firstRow="0" w:lastRow="0" w:firstColumn="0" w:lastColumn="0" w:oddVBand="0" w:evenVBand="0" w:oddHBand="1" w:evenHBand="0" w:firstRowFirstColumn="0" w:firstRowLastColumn="0" w:lastRowFirstColumn="0" w:lastRowLastColumn="0"/>
              <w:rPr>
                <w:strike/>
                <w:sz w:val="20"/>
                <w:szCs w:val="20"/>
              </w:rPr>
            </w:pPr>
          </w:p>
        </w:tc>
      </w:tr>
    </w:tbl>
    <w:p w14:paraId="6F88F584" w14:textId="77777777" w:rsidR="002871DB" w:rsidRPr="003A4001" w:rsidRDefault="002871DB">
      <w:pPr>
        <w:rPr>
          <w:sz w:val="20"/>
          <w:szCs w:val="20"/>
        </w:rPr>
      </w:pPr>
    </w:p>
    <w:p w14:paraId="336D8672" w14:textId="338E4743" w:rsidR="00184B0E" w:rsidRPr="003A4001" w:rsidRDefault="00212C81">
      <w:pPr>
        <w:rPr>
          <w:color w:val="FF0000"/>
          <w:sz w:val="20"/>
          <w:szCs w:val="20"/>
        </w:rPr>
      </w:pPr>
      <w:r w:rsidRPr="003A4001">
        <w:rPr>
          <w:sz w:val="20"/>
          <w:szCs w:val="20"/>
        </w:rPr>
        <w:t>NB – Assessment criteria for recruitment will be notified separately.</w:t>
      </w:r>
      <w:r w:rsidRPr="003A4001">
        <w:rPr>
          <w:sz w:val="20"/>
          <w:szCs w:val="20"/>
        </w:rPr>
        <w:br/>
      </w:r>
      <w:r w:rsidRPr="003A4001">
        <w:rPr>
          <w:color w:val="FF0000"/>
          <w:sz w:val="20"/>
          <w:szCs w:val="20"/>
        </w:rPr>
        <w:t xml:space="preserve">You should use this information to make the best of your application by identifying some specific pieces of work you may have undertaken in any of these areas.  You will be tested in some or </w:t>
      </w:r>
      <w:proofErr w:type="gramStart"/>
      <w:r w:rsidRPr="003A4001">
        <w:rPr>
          <w:color w:val="FF0000"/>
          <w:sz w:val="20"/>
          <w:szCs w:val="20"/>
        </w:rPr>
        <w:t>all of</w:t>
      </w:r>
      <w:proofErr w:type="gramEnd"/>
      <w:r w:rsidRPr="003A4001">
        <w:rPr>
          <w:color w:val="FF0000"/>
          <w:sz w:val="20"/>
          <w:szCs w:val="20"/>
        </w:rPr>
        <w:t xml:space="preserve"> the skill specific areas over the course of the selection process.</w:t>
      </w:r>
    </w:p>
    <w:sectPr w:rsidR="00184B0E" w:rsidRPr="003A4001" w:rsidSect="00212C81">
      <w:headerReference w:type="default" r:id="rId16"/>
      <w:headerReference w:type="first" r:id="rId17"/>
      <w:pgSz w:w="11906" w:h="16838"/>
      <w:pgMar w:top="1560" w:right="1440" w:bottom="1440" w:left="1440" w:header="127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EFB7D" w14:textId="77777777" w:rsidR="00750143" w:rsidRDefault="00750143" w:rsidP="00212C81">
      <w:pPr>
        <w:spacing w:after="0" w:line="240" w:lineRule="auto"/>
      </w:pPr>
      <w:r>
        <w:separator/>
      </w:r>
    </w:p>
  </w:endnote>
  <w:endnote w:type="continuationSeparator" w:id="0">
    <w:p w14:paraId="150D73BF" w14:textId="77777777" w:rsidR="00750143" w:rsidRDefault="00750143" w:rsidP="00212C81">
      <w:pPr>
        <w:spacing w:after="0" w:line="240" w:lineRule="auto"/>
      </w:pPr>
      <w:r>
        <w:continuationSeparator/>
      </w:r>
    </w:p>
  </w:endnote>
  <w:endnote w:type="continuationNotice" w:id="1">
    <w:p w14:paraId="605F8799" w14:textId="77777777" w:rsidR="00C7657A" w:rsidRDefault="00C76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lus Jakarta Sans">
    <w:altName w:val="Cambria"/>
    <w:charset w:val="00"/>
    <w:family w:val="auto"/>
    <w:pitch w:val="variable"/>
    <w:sig w:usb0="A10000FF" w:usb1="40006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62795" w14:textId="77777777" w:rsidR="00750143" w:rsidRDefault="00750143" w:rsidP="00212C81">
      <w:pPr>
        <w:spacing w:after="0" w:line="240" w:lineRule="auto"/>
      </w:pPr>
      <w:r>
        <w:separator/>
      </w:r>
    </w:p>
  </w:footnote>
  <w:footnote w:type="continuationSeparator" w:id="0">
    <w:p w14:paraId="1BB1DBEA" w14:textId="77777777" w:rsidR="00750143" w:rsidRDefault="00750143" w:rsidP="00212C81">
      <w:pPr>
        <w:spacing w:after="0" w:line="240" w:lineRule="auto"/>
      </w:pPr>
      <w:r>
        <w:continuationSeparator/>
      </w:r>
    </w:p>
  </w:footnote>
  <w:footnote w:type="continuationNotice" w:id="1">
    <w:p w14:paraId="093DFBAC" w14:textId="77777777" w:rsidR="00C7657A" w:rsidRDefault="00C765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7376" w14:textId="4137C17D" w:rsidR="00212C81" w:rsidRDefault="00212C81">
    <w:pPr>
      <w:pStyle w:val="Header"/>
    </w:pPr>
    <w:r>
      <w:rPr>
        <w:noProof/>
      </w:rPr>
      <w:drawing>
        <wp:anchor distT="0" distB="0" distL="114300" distR="114300" simplePos="0" relativeHeight="251658241" behindDoc="0" locked="0" layoutInCell="1" allowOverlap="1" wp14:anchorId="26F1C362" wp14:editId="62E925BE">
          <wp:simplePos x="0" y="0"/>
          <wp:positionH relativeFrom="column">
            <wp:posOffset>-495935</wp:posOffset>
          </wp:positionH>
          <wp:positionV relativeFrom="paragraph">
            <wp:posOffset>-524510</wp:posOffset>
          </wp:positionV>
          <wp:extent cx="1187450" cy="427990"/>
          <wp:effectExtent l="0" t="0" r="0" b="0"/>
          <wp:wrapTopAndBottom/>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745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5FFD" w14:textId="117D2F61" w:rsidR="000A0A91" w:rsidRDefault="000A0A91">
    <w:pPr>
      <w:pStyle w:val="Header"/>
      <w:rPr>
        <w:noProof/>
      </w:rPr>
    </w:pPr>
    <w:r>
      <w:rPr>
        <w:noProof/>
      </w:rPr>
      <w:drawing>
        <wp:anchor distT="0" distB="0" distL="114300" distR="114300" simplePos="0" relativeHeight="251658240" behindDoc="0" locked="0" layoutInCell="1" allowOverlap="1" wp14:anchorId="6E0DE9A3" wp14:editId="4BC7E1FB">
          <wp:simplePos x="0" y="0"/>
          <wp:positionH relativeFrom="page">
            <wp:align>right</wp:align>
          </wp:positionH>
          <wp:positionV relativeFrom="paragraph">
            <wp:posOffset>-810260</wp:posOffset>
          </wp:positionV>
          <wp:extent cx="7741285" cy="2787015"/>
          <wp:effectExtent l="0" t="0" r="0" b="0"/>
          <wp:wrapSquare wrapText="bothSides"/>
          <wp:docPr id="1904366341" name="Picture 1" descr="A white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366341" name="Picture 1" descr="A white background with green text&#10;&#10;AI-generated content may be incorrect."/>
                  <pic:cNvPicPr/>
                </pic:nvPicPr>
                <pic:blipFill rotWithShape="1">
                  <a:blip r:embed="rId1">
                    <a:extLst>
                      <a:ext uri="{28A0092B-C50C-407E-A947-70E740481C1C}">
                        <a14:useLocalDpi xmlns:a14="http://schemas.microsoft.com/office/drawing/2010/main" val="0"/>
                      </a:ext>
                    </a:extLst>
                  </a:blip>
                  <a:srcRect b="35986"/>
                  <a:stretch/>
                </pic:blipFill>
                <pic:spPr bwMode="auto">
                  <a:xfrm>
                    <a:off x="0" y="0"/>
                    <a:ext cx="7741285" cy="2787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004F3E" w14:textId="1FA4D49C" w:rsidR="00212C81" w:rsidRDefault="00212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08CE"/>
    <w:multiLevelType w:val="hybridMultilevel"/>
    <w:tmpl w:val="0224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65CFB"/>
    <w:multiLevelType w:val="hybridMultilevel"/>
    <w:tmpl w:val="8FB2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A163D"/>
    <w:multiLevelType w:val="hybridMultilevel"/>
    <w:tmpl w:val="96941C3A"/>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226F5A"/>
    <w:multiLevelType w:val="hybridMultilevel"/>
    <w:tmpl w:val="238E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5" w15:restartNumberingAfterBreak="0">
    <w:nsid w:val="33876D5D"/>
    <w:multiLevelType w:val="hybridMultilevel"/>
    <w:tmpl w:val="BB9C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C0A15"/>
    <w:multiLevelType w:val="hybridMultilevel"/>
    <w:tmpl w:val="8008235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CE0D03"/>
    <w:multiLevelType w:val="hybridMultilevel"/>
    <w:tmpl w:val="99E8D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0067A"/>
    <w:multiLevelType w:val="hybridMultilevel"/>
    <w:tmpl w:val="5B680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8D0AEE"/>
    <w:multiLevelType w:val="hybridMultilevel"/>
    <w:tmpl w:val="4CE68750"/>
    <w:lvl w:ilvl="0" w:tplc="08090001">
      <w:start w:val="1"/>
      <w:numFmt w:val="bullet"/>
      <w:lvlText w:val=""/>
      <w:lvlJc w:val="left"/>
      <w:pPr>
        <w:ind w:left="720" w:hanging="360"/>
      </w:pPr>
      <w:rPr>
        <w:rFonts w:ascii="Symbol" w:hAnsi="Symbol" w:hint="default"/>
      </w:rPr>
    </w:lvl>
    <w:lvl w:ilvl="1" w:tplc="670246E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422579"/>
    <w:multiLevelType w:val="hybridMultilevel"/>
    <w:tmpl w:val="9B0C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ED5172"/>
    <w:multiLevelType w:val="hybridMultilevel"/>
    <w:tmpl w:val="8EA6168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304717">
    <w:abstractNumId w:val="2"/>
  </w:num>
  <w:num w:numId="2" w16cid:durableId="1489319272">
    <w:abstractNumId w:val="11"/>
  </w:num>
  <w:num w:numId="3" w16cid:durableId="535970230">
    <w:abstractNumId w:val="4"/>
  </w:num>
  <w:num w:numId="4" w16cid:durableId="490411373">
    <w:abstractNumId w:val="6"/>
  </w:num>
  <w:num w:numId="5" w16cid:durableId="1764062883">
    <w:abstractNumId w:val="9"/>
  </w:num>
  <w:num w:numId="6" w16cid:durableId="1996495577">
    <w:abstractNumId w:val="3"/>
  </w:num>
  <w:num w:numId="7" w16cid:durableId="156581642">
    <w:abstractNumId w:val="5"/>
  </w:num>
  <w:num w:numId="8" w16cid:durableId="1494950433">
    <w:abstractNumId w:val="0"/>
  </w:num>
  <w:num w:numId="9" w16cid:durableId="724719623">
    <w:abstractNumId w:val="7"/>
  </w:num>
  <w:num w:numId="10" w16cid:durableId="83497856">
    <w:abstractNumId w:val="10"/>
  </w:num>
  <w:num w:numId="11" w16cid:durableId="1534342104">
    <w:abstractNumId w:val="1"/>
  </w:num>
  <w:num w:numId="12" w16cid:durableId="108491566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81"/>
    <w:rsid w:val="00002DB5"/>
    <w:rsid w:val="00030640"/>
    <w:rsid w:val="00043740"/>
    <w:rsid w:val="0004786A"/>
    <w:rsid w:val="00050F37"/>
    <w:rsid w:val="000534F1"/>
    <w:rsid w:val="000534F3"/>
    <w:rsid w:val="00060799"/>
    <w:rsid w:val="00074690"/>
    <w:rsid w:val="00080F0A"/>
    <w:rsid w:val="00093A30"/>
    <w:rsid w:val="0009791B"/>
    <w:rsid w:val="000A0A91"/>
    <w:rsid w:val="000A2C64"/>
    <w:rsid w:val="000B3018"/>
    <w:rsid w:val="000B3A8F"/>
    <w:rsid w:val="000B62F0"/>
    <w:rsid w:val="000C4CB8"/>
    <w:rsid w:val="000C4F55"/>
    <w:rsid w:val="000C5236"/>
    <w:rsid w:val="000E7E16"/>
    <w:rsid w:val="000F3D4E"/>
    <w:rsid w:val="000F7434"/>
    <w:rsid w:val="00100B3E"/>
    <w:rsid w:val="00103F04"/>
    <w:rsid w:val="00116B4E"/>
    <w:rsid w:val="00127940"/>
    <w:rsid w:val="00134DED"/>
    <w:rsid w:val="0014611E"/>
    <w:rsid w:val="00151D01"/>
    <w:rsid w:val="00152A8F"/>
    <w:rsid w:val="00160C92"/>
    <w:rsid w:val="00163A2E"/>
    <w:rsid w:val="0017187C"/>
    <w:rsid w:val="00173877"/>
    <w:rsid w:val="00183E77"/>
    <w:rsid w:val="0018481B"/>
    <w:rsid w:val="00184B0E"/>
    <w:rsid w:val="00186501"/>
    <w:rsid w:val="001A161C"/>
    <w:rsid w:val="001A3159"/>
    <w:rsid w:val="001A4F65"/>
    <w:rsid w:val="001B020A"/>
    <w:rsid w:val="001B5FCA"/>
    <w:rsid w:val="001C1565"/>
    <w:rsid w:val="001C3A56"/>
    <w:rsid w:val="001C5A90"/>
    <w:rsid w:val="001D03B4"/>
    <w:rsid w:val="001F1664"/>
    <w:rsid w:val="001F3666"/>
    <w:rsid w:val="002038BE"/>
    <w:rsid w:val="002040D0"/>
    <w:rsid w:val="002129CE"/>
    <w:rsid w:val="00212C81"/>
    <w:rsid w:val="00246385"/>
    <w:rsid w:val="00262707"/>
    <w:rsid w:val="0026509C"/>
    <w:rsid w:val="00265D3F"/>
    <w:rsid w:val="002718FA"/>
    <w:rsid w:val="00272ABE"/>
    <w:rsid w:val="002777C3"/>
    <w:rsid w:val="00277844"/>
    <w:rsid w:val="002871DB"/>
    <w:rsid w:val="0028736E"/>
    <w:rsid w:val="002A2D37"/>
    <w:rsid w:val="002B26E0"/>
    <w:rsid w:val="002C1010"/>
    <w:rsid w:val="002C292C"/>
    <w:rsid w:val="002C768D"/>
    <w:rsid w:val="002D71D0"/>
    <w:rsid w:val="002E01D7"/>
    <w:rsid w:val="0030677E"/>
    <w:rsid w:val="003365F8"/>
    <w:rsid w:val="00340B5B"/>
    <w:rsid w:val="003429F2"/>
    <w:rsid w:val="00342F11"/>
    <w:rsid w:val="00344E84"/>
    <w:rsid w:val="003465CF"/>
    <w:rsid w:val="00347EC3"/>
    <w:rsid w:val="00352E1A"/>
    <w:rsid w:val="00361798"/>
    <w:rsid w:val="00363A77"/>
    <w:rsid w:val="00365DBC"/>
    <w:rsid w:val="00377092"/>
    <w:rsid w:val="00382925"/>
    <w:rsid w:val="003854EF"/>
    <w:rsid w:val="0038674E"/>
    <w:rsid w:val="003A4001"/>
    <w:rsid w:val="003A6661"/>
    <w:rsid w:val="003A7BEC"/>
    <w:rsid w:val="003D4A10"/>
    <w:rsid w:val="003D54AA"/>
    <w:rsid w:val="003D654B"/>
    <w:rsid w:val="003E1F63"/>
    <w:rsid w:val="003F07CD"/>
    <w:rsid w:val="003F2768"/>
    <w:rsid w:val="003F4418"/>
    <w:rsid w:val="004031FA"/>
    <w:rsid w:val="004043A3"/>
    <w:rsid w:val="00404599"/>
    <w:rsid w:val="00416CA8"/>
    <w:rsid w:val="00420481"/>
    <w:rsid w:val="00420B9A"/>
    <w:rsid w:val="004256EA"/>
    <w:rsid w:val="0043004F"/>
    <w:rsid w:val="004511CB"/>
    <w:rsid w:val="00455AF0"/>
    <w:rsid w:val="004650FE"/>
    <w:rsid w:val="004661D2"/>
    <w:rsid w:val="00467ED8"/>
    <w:rsid w:val="00471C9B"/>
    <w:rsid w:val="00486106"/>
    <w:rsid w:val="004962BB"/>
    <w:rsid w:val="004B2EE8"/>
    <w:rsid w:val="004B7FB3"/>
    <w:rsid w:val="004C00A5"/>
    <w:rsid w:val="004C63A0"/>
    <w:rsid w:val="004D52AB"/>
    <w:rsid w:val="004D6D7D"/>
    <w:rsid w:val="004E1230"/>
    <w:rsid w:val="005165EF"/>
    <w:rsid w:val="005238C6"/>
    <w:rsid w:val="00526C70"/>
    <w:rsid w:val="00527C78"/>
    <w:rsid w:val="00564A8C"/>
    <w:rsid w:val="0057062E"/>
    <w:rsid w:val="0058650D"/>
    <w:rsid w:val="005927DB"/>
    <w:rsid w:val="00593D1B"/>
    <w:rsid w:val="005B5EDB"/>
    <w:rsid w:val="005B747A"/>
    <w:rsid w:val="005C18BA"/>
    <w:rsid w:val="005C1E8D"/>
    <w:rsid w:val="005D1D1A"/>
    <w:rsid w:val="005D53AA"/>
    <w:rsid w:val="005E31D6"/>
    <w:rsid w:val="005E6237"/>
    <w:rsid w:val="005F54EB"/>
    <w:rsid w:val="00600753"/>
    <w:rsid w:val="00613E59"/>
    <w:rsid w:val="00613EE8"/>
    <w:rsid w:val="006212C1"/>
    <w:rsid w:val="00624239"/>
    <w:rsid w:val="0062657B"/>
    <w:rsid w:val="0063644A"/>
    <w:rsid w:val="00637409"/>
    <w:rsid w:val="006430E8"/>
    <w:rsid w:val="00646E3E"/>
    <w:rsid w:val="00651E81"/>
    <w:rsid w:val="00655CF7"/>
    <w:rsid w:val="006563BF"/>
    <w:rsid w:val="00657499"/>
    <w:rsid w:val="0066381D"/>
    <w:rsid w:val="0067139E"/>
    <w:rsid w:val="0067350F"/>
    <w:rsid w:val="00677676"/>
    <w:rsid w:val="00677773"/>
    <w:rsid w:val="00694ADD"/>
    <w:rsid w:val="006A28BC"/>
    <w:rsid w:val="006C6033"/>
    <w:rsid w:val="006D3975"/>
    <w:rsid w:val="006D75E6"/>
    <w:rsid w:val="006E7525"/>
    <w:rsid w:val="006F109F"/>
    <w:rsid w:val="006F7330"/>
    <w:rsid w:val="007025F4"/>
    <w:rsid w:val="00710606"/>
    <w:rsid w:val="00721E6E"/>
    <w:rsid w:val="007240CA"/>
    <w:rsid w:val="00726D05"/>
    <w:rsid w:val="00730D08"/>
    <w:rsid w:val="007348E0"/>
    <w:rsid w:val="0074054E"/>
    <w:rsid w:val="00744A8A"/>
    <w:rsid w:val="0074579C"/>
    <w:rsid w:val="00747208"/>
    <w:rsid w:val="00750143"/>
    <w:rsid w:val="007504A1"/>
    <w:rsid w:val="0075162D"/>
    <w:rsid w:val="00754F92"/>
    <w:rsid w:val="00755FD0"/>
    <w:rsid w:val="0075742B"/>
    <w:rsid w:val="00757F3B"/>
    <w:rsid w:val="007828C3"/>
    <w:rsid w:val="00787886"/>
    <w:rsid w:val="007911D4"/>
    <w:rsid w:val="00794A66"/>
    <w:rsid w:val="007A04D3"/>
    <w:rsid w:val="007A1436"/>
    <w:rsid w:val="007A56E7"/>
    <w:rsid w:val="007A6F73"/>
    <w:rsid w:val="007C4618"/>
    <w:rsid w:val="007D6DFF"/>
    <w:rsid w:val="007E2891"/>
    <w:rsid w:val="007F29CD"/>
    <w:rsid w:val="007F56C8"/>
    <w:rsid w:val="00810363"/>
    <w:rsid w:val="00831626"/>
    <w:rsid w:val="00835893"/>
    <w:rsid w:val="00845AB2"/>
    <w:rsid w:val="008577B8"/>
    <w:rsid w:val="00857EE2"/>
    <w:rsid w:val="00882072"/>
    <w:rsid w:val="00884D6D"/>
    <w:rsid w:val="008875BE"/>
    <w:rsid w:val="00896130"/>
    <w:rsid w:val="008B3185"/>
    <w:rsid w:val="008C0403"/>
    <w:rsid w:val="008D0518"/>
    <w:rsid w:val="008D0788"/>
    <w:rsid w:val="008D3B66"/>
    <w:rsid w:val="008D5FA7"/>
    <w:rsid w:val="008E33BC"/>
    <w:rsid w:val="008E37CC"/>
    <w:rsid w:val="008E6ABC"/>
    <w:rsid w:val="008F20B0"/>
    <w:rsid w:val="008F4804"/>
    <w:rsid w:val="008F654C"/>
    <w:rsid w:val="009027E7"/>
    <w:rsid w:val="009029C4"/>
    <w:rsid w:val="0090639E"/>
    <w:rsid w:val="00912523"/>
    <w:rsid w:val="00913291"/>
    <w:rsid w:val="00913697"/>
    <w:rsid w:val="0091612C"/>
    <w:rsid w:val="00922BDA"/>
    <w:rsid w:val="00962FCC"/>
    <w:rsid w:val="00963884"/>
    <w:rsid w:val="00964114"/>
    <w:rsid w:val="009804A2"/>
    <w:rsid w:val="00981D32"/>
    <w:rsid w:val="00993634"/>
    <w:rsid w:val="009B275B"/>
    <w:rsid w:val="009C4E2E"/>
    <w:rsid w:val="009C74A9"/>
    <w:rsid w:val="009C7DEE"/>
    <w:rsid w:val="009D51AE"/>
    <w:rsid w:val="009D7D4C"/>
    <w:rsid w:val="009E4C6C"/>
    <w:rsid w:val="009F14AF"/>
    <w:rsid w:val="00A01C4C"/>
    <w:rsid w:val="00A039B1"/>
    <w:rsid w:val="00A04E6F"/>
    <w:rsid w:val="00A17023"/>
    <w:rsid w:val="00A2063C"/>
    <w:rsid w:val="00A25E38"/>
    <w:rsid w:val="00A31709"/>
    <w:rsid w:val="00A566E0"/>
    <w:rsid w:val="00A6775A"/>
    <w:rsid w:val="00A67D8E"/>
    <w:rsid w:val="00A7153F"/>
    <w:rsid w:val="00A71E0E"/>
    <w:rsid w:val="00A72CCD"/>
    <w:rsid w:val="00A72F23"/>
    <w:rsid w:val="00A82F00"/>
    <w:rsid w:val="00AA10D8"/>
    <w:rsid w:val="00AA1AF8"/>
    <w:rsid w:val="00AA7987"/>
    <w:rsid w:val="00AA7AF2"/>
    <w:rsid w:val="00AB3BE7"/>
    <w:rsid w:val="00AB704E"/>
    <w:rsid w:val="00AC461D"/>
    <w:rsid w:val="00AD5385"/>
    <w:rsid w:val="00AD5B45"/>
    <w:rsid w:val="00AE19CB"/>
    <w:rsid w:val="00AE23D5"/>
    <w:rsid w:val="00AF264A"/>
    <w:rsid w:val="00B1189A"/>
    <w:rsid w:val="00B26E1F"/>
    <w:rsid w:val="00B4536B"/>
    <w:rsid w:val="00B500E2"/>
    <w:rsid w:val="00B54A8F"/>
    <w:rsid w:val="00B623DA"/>
    <w:rsid w:val="00B705EE"/>
    <w:rsid w:val="00B71CA1"/>
    <w:rsid w:val="00B74815"/>
    <w:rsid w:val="00B83C5D"/>
    <w:rsid w:val="00B87F2C"/>
    <w:rsid w:val="00BC5902"/>
    <w:rsid w:val="00BD0064"/>
    <w:rsid w:val="00BD00A2"/>
    <w:rsid w:val="00BD30EF"/>
    <w:rsid w:val="00BD3395"/>
    <w:rsid w:val="00BD4F9F"/>
    <w:rsid w:val="00BE43F9"/>
    <w:rsid w:val="00BF2B1B"/>
    <w:rsid w:val="00BF3A08"/>
    <w:rsid w:val="00BF4F37"/>
    <w:rsid w:val="00C02427"/>
    <w:rsid w:val="00C02BFF"/>
    <w:rsid w:val="00C034C2"/>
    <w:rsid w:val="00C234E2"/>
    <w:rsid w:val="00C23ED3"/>
    <w:rsid w:val="00C26D35"/>
    <w:rsid w:val="00C27462"/>
    <w:rsid w:val="00C326E1"/>
    <w:rsid w:val="00C34251"/>
    <w:rsid w:val="00C346F5"/>
    <w:rsid w:val="00C4480B"/>
    <w:rsid w:val="00C531CC"/>
    <w:rsid w:val="00C619D8"/>
    <w:rsid w:val="00C715DB"/>
    <w:rsid w:val="00C74179"/>
    <w:rsid w:val="00C7657A"/>
    <w:rsid w:val="00C8070B"/>
    <w:rsid w:val="00C85340"/>
    <w:rsid w:val="00C95FEE"/>
    <w:rsid w:val="00CA235F"/>
    <w:rsid w:val="00CC461C"/>
    <w:rsid w:val="00CD0F07"/>
    <w:rsid w:val="00CD2004"/>
    <w:rsid w:val="00CD7D86"/>
    <w:rsid w:val="00CF428E"/>
    <w:rsid w:val="00CF63D9"/>
    <w:rsid w:val="00D11B90"/>
    <w:rsid w:val="00D136D6"/>
    <w:rsid w:val="00D24EBB"/>
    <w:rsid w:val="00D358DC"/>
    <w:rsid w:val="00D379D2"/>
    <w:rsid w:val="00D412CD"/>
    <w:rsid w:val="00D441FC"/>
    <w:rsid w:val="00D45EE1"/>
    <w:rsid w:val="00D51D32"/>
    <w:rsid w:val="00D52A5D"/>
    <w:rsid w:val="00D54F1F"/>
    <w:rsid w:val="00D55AFF"/>
    <w:rsid w:val="00D67EB5"/>
    <w:rsid w:val="00D727C0"/>
    <w:rsid w:val="00D74452"/>
    <w:rsid w:val="00D76F38"/>
    <w:rsid w:val="00D92185"/>
    <w:rsid w:val="00D966FE"/>
    <w:rsid w:val="00DA1DF1"/>
    <w:rsid w:val="00DA6F78"/>
    <w:rsid w:val="00DB6776"/>
    <w:rsid w:val="00DB6BC1"/>
    <w:rsid w:val="00DD5FE4"/>
    <w:rsid w:val="00E04391"/>
    <w:rsid w:val="00E225F5"/>
    <w:rsid w:val="00E30886"/>
    <w:rsid w:val="00E33949"/>
    <w:rsid w:val="00E476F1"/>
    <w:rsid w:val="00E51848"/>
    <w:rsid w:val="00E54677"/>
    <w:rsid w:val="00E549F5"/>
    <w:rsid w:val="00E56731"/>
    <w:rsid w:val="00E60F14"/>
    <w:rsid w:val="00E639A2"/>
    <w:rsid w:val="00E670CC"/>
    <w:rsid w:val="00E67A4B"/>
    <w:rsid w:val="00E72D67"/>
    <w:rsid w:val="00E7308F"/>
    <w:rsid w:val="00E82974"/>
    <w:rsid w:val="00E87F62"/>
    <w:rsid w:val="00E90940"/>
    <w:rsid w:val="00E93F6B"/>
    <w:rsid w:val="00E97EAD"/>
    <w:rsid w:val="00EA7C70"/>
    <w:rsid w:val="00EB1F22"/>
    <w:rsid w:val="00EB4E64"/>
    <w:rsid w:val="00ED4D8C"/>
    <w:rsid w:val="00ED540C"/>
    <w:rsid w:val="00ED5ABD"/>
    <w:rsid w:val="00ED5CF1"/>
    <w:rsid w:val="00ED6BF1"/>
    <w:rsid w:val="00EF0E35"/>
    <w:rsid w:val="00EF272E"/>
    <w:rsid w:val="00F06BCF"/>
    <w:rsid w:val="00F10129"/>
    <w:rsid w:val="00F21299"/>
    <w:rsid w:val="00F25F60"/>
    <w:rsid w:val="00F42514"/>
    <w:rsid w:val="00F61BE4"/>
    <w:rsid w:val="00F63CFD"/>
    <w:rsid w:val="00F70DB9"/>
    <w:rsid w:val="00F7120A"/>
    <w:rsid w:val="00F82AC3"/>
    <w:rsid w:val="00F83123"/>
    <w:rsid w:val="00F832AD"/>
    <w:rsid w:val="00F84F35"/>
    <w:rsid w:val="00FC10A0"/>
    <w:rsid w:val="00FC1F06"/>
    <w:rsid w:val="00FD0191"/>
    <w:rsid w:val="00FE2A33"/>
    <w:rsid w:val="00FE550E"/>
    <w:rsid w:val="02C623AA"/>
    <w:rsid w:val="035AEE7E"/>
    <w:rsid w:val="0676C8D6"/>
    <w:rsid w:val="06C44C92"/>
    <w:rsid w:val="06C47E1B"/>
    <w:rsid w:val="06FF9879"/>
    <w:rsid w:val="0758CCC0"/>
    <w:rsid w:val="0825FD73"/>
    <w:rsid w:val="096AAE91"/>
    <w:rsid w:val="0C2FABE1"/>
    <w:rsid w:val="0C5D7D41"/>
    <w:rsid w:val="0D0BF320"/>
    <w:rsid w:val="0F453FD7"/>
    <w:rsid w:val="101150F0"/>
    <w:rsid w:val="102E2862"/>
    <w:rsid w:val="111B7673"/>
    <w:rsid w:val="15AB44DE"/>
    <w:rsid w:val="169DC5CD"/>
    <w:rsid w:val="19B70723"/>
    <w:rsid w:val="1AF71005"/>
    <w:rsid w:val="1BD7F416"/>
    <w:rsid w:val="1BE090BD"/>
    <w:rsid w:val="1F03B216"/>
    <w:rsid w:val="206D5EE0"/>
    <w:rsid w:val="20B0C9A8"/>
    <w:rsid w:val="2222E0A0"/>
    <w:rsid w:val="22C20F9F"/>
    <w:rsid w:val="2504DEA1"/>
    <w:rsid w:val="25382099"/>
    <w:rsid w:val="259B07AF"/>
    <w:rsid w:val="2675BDDF"/>
    <w:rsid w:val="275FE81B"/>
    <w:rsid w:val="2A087622"/>
    <w:rsid w:val="2ABAC5F8"/>
    <w:rsid w:val="2ED6C616"/>
    <w:rsid w:val="2EE8CBF9"/>
    <w:rsid w:val="315424C5"/>
    <w:rsid w:val="33229A90"/>
    <w:rsid w:val="3423C559"/>
    <w:rsid w:val="34EC48EB"/>
    <w:rsid w:val="39EB3B39"/>
    <w:rsid w:val="3A9E77F7"/>
    <w:rsid w:val="3D72E380"/>
    <w:rsid w:val="3F4F12D4"/>
    <w:rsid w:val="417D2A3C"/>
    <w:rsid w:val="4508AC44"/>
    <w:rsid w:val="463C5771"/>
    <w:rsid w:val="47304B04"/>
    <w:rsid w:val="4880494F"/>
    <w:rsid w:val="48AA4D9F"/>
    <w:rsid w:val="4920A564"/>
    <w:rsid w:val="49C972FC"/>
    <w:rsid w:val="4A25DC3D"/>
    <w:rsid w:val="4B756FF9"/>
    <w:rsid w:val="4D0CD9A5"/>
    <w:rsid w:val="4D526BC1"/>
    <w:rsid w:val="4E6931A3"/>
    <w:rsid w:val="4F62E964"/>
    <w:rsid w:val="4FD6C6D3"/>
    <w:rsid w:val="50376E6C"/>
    <w:rsid w:val="512A9D70"/>
    <w:rsid w:val="5181A48F"/>
    <w:rsid w:val="51ACCFBD"/>
    <w:rsid w:val="52004F64"/>
    <w:rsid w:val="531C4F22"/>
    <w:rsid w:val="54073B54"/>
    <w:rsid w:val="54DD738E"/>
    <w:rsid w:val="56D2A95F"/>
    <w:rsid w:val="57FE3DAA"/>
    <w:rsid w:val="583255D1"/>
    <w:rsid w:val="591FDEDB"/>
    <w:rsid w:val="5A93CD2A"/>
    <w:rsid w:val="5AD4B52D"/>
    <w:rsid w:val="5CA00C9D"/>
    <w:rsid w:val="5D8A448C"/>
    <w:rsid w:val="5ED519AA"/>
    <w:rsid w:val="5F95F5D2"/>
    <w:rsid w:val="5F9E79D4"/>
    <w:rsid w:val="614B9C50"/>
    <w:rsid w:val="64EBAF26"/>
    <w:rsid w:val="67D7B739"/>
    <w:rsid w:val="69E225DA"/>
    <w:rsid w:val="6B89E851"/>
    <w:rsid w:val="6BD2F007"/>
    <w:rsid w:val="6EC16D71"/>
    <w:rsid w:val="70BBF0EC"/>
    <w:rsid w:val="71E18785"/>
    <w:rsid w:val="72BF3993"/>
    <w:rsid w:val="743A2D7C"/>
    <w:rsid w:val="79B75135"/>
    <w:rsid w:val="7D546E65"/>
    <w:rsid w:val="7D68DD02"/>
    <w:rsid w:val="7DFD3918"/>
    <w:rsid w:val="7E3DF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C4C7"/>
  <w15:chartTrackingRefBased/>
  <w15:docId w15:val="{7A2028F0-40EE-4734-AFCE-E4536EC8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81"/>
    <w:pPr>
      <w:spacing w:after="200" w:line="276" w:lineRule="auto"/>
    </w:pPr>
  </w:style>
  <w:style w:type="paragraph" w:styleId="Heading2">
    <w:name w:val="heading 2"/>
    <w:basedOn w:val="Normal"/>
    <w:next w:val="Normal"/>
    <w:link w:val="Heading2Char"/>
    <w:uiPriority w:val="9"/>
    <w:unhideWhenUsed/>
    <w:qFormat/>
    <w:rsid w:val="0075742B"/>
    <w:pPr>
      <w:keepNext/>
      <w:keepLines/>
      <w:spacing w:before="160" w:after="120"/>
      <w:outlineLvl w:val="1"/>
    </w:pPr>
    <w:rPr>
      <w:rFonts w:eastAsiaTheme="majorEastAsia"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C81"/>
  </w:style>
  <w:style w:type="paragraph" w:styleId="Footer">
    <w:name w:val="footer"/>
    <w:basedOn w:val="Normal"/>
    <w:link w:val="FooterChar"/>
    <w:uiPriority w:val="99"/>
    <w:unhideWhenUsed/>
    <w:rsid w:val="00212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C81"/>
  </w:style>
  <w:style w:type="table" w:styleId="TableGrid">
    <w:name w:val="Table Grid"/>
    <w:basedOn w:val="TableNormal"/>
    <w:uiPriority w:val="59"/>
    <w:rsid w:val="00212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12C8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3">
    <w:name w:val="Light List Accent 3"/>
    <w:basedOn w:val="TableNormal"/>
    <w:uiPriority w:val="61"/>
    <w:rsid w:val="00212C8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Paragraph">
    <w:name w:val="List Paragraph"/>
    <w:basedOn w:val="Normal"/>
    <w:uiPriority w:val="34"/>
    <w:qFormat/>
    <w:rsid w:val="00212C81"/>
    <w:pPr>
      <w:ind w:left="720"/>
      <w:contextualSpacing/>
    </w:pPr>
  </w:style>
  <w:style w:type="table" w:styleId="LightList-Accent6">
    <w:name w:val="Light List Accent 6"/>
    <w:basedOn w:val="TableNormal"/>
    <w:uiPriority w:val="61"/>
    <w:rsid w:val="00212C8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2Char">
    <w:name w:val="Heading 2 Char"/>
    <w:basedOn w:val="DefaultParagraphFont"/>
    <w:link w:val="Heading2"/>
    <w:uiPriority w:val="9"/>
    <w:rsid w:val="0075742B"/>
    <w:rPr>
      <w:rFonts w:eastAsiaTheme="majorEastAsia" w:cstheme="majorBidi"/>
      <w:b/>
      <w:color w:val="404040" w:themeColor="text1" w:themeTint="BF"/>
      <w:sz w:val="28"/>
      <w:szCs w:val="26"/>
    </w:rPr>
  </w:style>
  <w:style w:type="character" w:styleId="CommentReference">
    <w:name w:val="annotation reference"/>
    <w:basedOn w:val="DefaultParagraphFont"/>
    <w:uiPriority w:val="99"/>
    <w:semiHidden/>
    <w:unhideWhenUsed/>
    <w:rsid w:val="004D6D7D"/>
    <w:rPr>
      <w:sz w:val="16"/>
      <w:szCs w:val="16"/>
    </w:rPr>
  </w:style>
  <w:style w:type="paragraph" w:styleId="CommentText">
    <w:name w:val="annotation text"/>
    <w:basedOn w:val="Normal"/>
    <w:link w:val="CommentTextChar"/>
    <w:uiPriority w:val="99"/>
    <w:unhideWhenUsed/>
    <w:rsid w:val="004D6D7D"/>
    <w:pPr>
      <w:spacing w:line="240" w:lineRule="auto"/>
    </w:pPr>
    <w:rPr>
      <w:sz w:val="20"/>
      <w:szCs w:val="20"/>
    </w:rPr>
  </w:style>
  <w:style w:type="character" w:customStyle="1" w:styleId="CommentTextChar">
    <w:name w:val="Comment Text Char"/>
    <w:basedOn w:val="DefaultParagraphFont"/>
    <w:link w:val="CommentText"/>
    <w:uiPriority w:val="99"/>
    <w:rsid w:val="004D6D7D"/>
    <w:rPr>
      <w:sz w:val="20"/>
      <w:szCs w:val="20"/>
    </w:rPr>
  </w:style>
  <w:style w:type="paragraph" w:styleId="CommentSubject">
    <w:name w:val="annotation subject"/>
    <w:basedOn w:val="CommentText"/>
    <w:next w:val="CommentText"/>
    <w:link w:val="CommentSubjectChar"/>
    <w:uiPriority w:val="99"/>
    <w:semiHidden/>
    <w:unhideWhenUsed/>
    <w:rsid w:val="004D6D7D"/>
    <w:rPr>
      <w:b/>
      <w:bCs/>
    </w:rPr>
  </w:style>
  <w:style w:type="character" w:customStyle="1" w:styleId="CommentSubjectChar">
    <w:name w:val="Comment Subject Char"/>
    <w:basedOn w:val="CommentTextChar"/>
    <w:link w:val="CommentSubject"/>
    <w:uiPriority w:val="99"/>
    <w:semiHidden/>
    <w:rsid w:val="004D6D7D"/>
    <w:rPr>
      <w:b/>
      <w:bCs/>
      <w:sz w:val="20"/>
      <w:szCs w:val="20"/>
    </w:rPr>
  </w:style>
  <w:style w:type="character" w:styleId="Hyperlink">
    <w:name w:val="Hyperlink"/>
    <w:basedOn w:val="DefaultParagraphFont"/>
    <w:uiPriority w:val="99"/>
    <w:unhideWhenUsed/>
    <w:rsid w:val="00964114"/>
    <w:rPr>
      <w:color w:val="0563C1" w:themeColor="hyperlink"/>
      <w:u w:val="single"/>
    </w:rPr>
  </w:style>
  <w:style w:type="character" w:styleId="UnresolvedMention">
    <w:name w:val="Unresolved Mention"/>
    <w:basedOn w:val="DefaultParagraphFont"/>
    <w:uiPriority w:val="99"/>
    <w:semiHidden/>
    <w:unhideWhenUsed/>
    <w:rsid w:val="00964114"/>
    <w:rPr>
      <w:color w:val="605E5C"/>
      <w:shd w:val="clear" w:color="auto" w:fill="E1DFDD"/>
    </w:rPr>
  </w:style>
  <w:style w:type="paragraph" w:styleId="BalloonText">
    <w:name w:val="Balloon Text"/>
    <w:basedOn w:val="Normal"/>
    <w:link w:val="BalloonTextChar"/>
    <w:uiPriority w:val="99"/>
    <w:semiHidden/>
    <w:unhideWhenUsed/>
    <w:rsid w:val="00E54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9F5"/>
    <w:rPr>
      <w:rFonts w:ascii="Tahoma" w:hAnsi="Tahoma" w:cs="Tahoma"/>
      <w:sz w:val="16"/>
      <w:szCs w:val="16"/>
    </w:rPr>
  </w:style>
  <w:style w:type="paragraph" w:styleId="Revision">
    <w:name w:val="Revision"/>
    <w:hidden/>
    <w:uiPriority w:val="99"/>
    <w:semiHidden/>
    <w:rsid w:val="001D03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2642">
      <w:bodyDiv w:val="1"/>
      <w:marLeft w:val="0"/>
      <w:marRight w:val="0"/>
      <w:marTop w:val="0"/>
      <w:marBottom w:val="0"/>
      <w:divBdr>
        <w:top w:val="none" w:sz="0" w:space="0" w:color="auto"/>
        <w:left w:val="none" w:sz="0" w:space="0" w:color="auto"/>
        <w:bottom w:val="none" w:sz="0" w:space="0" w:color="auto"/>
        <w:right w:val="none" w:sz="0" w:space="0" w:color="auto"/>
      </w:divBdr>
    </w:div>
    <w:div w:id="111899016">
      <w:bodyDiv w:val="1"/>
      <w:marLeft w:val="0"/>
      <w:marRight w:val="0"/>
      <w:marTop w:val="0"/>
      <w:marBottom w:val="0"/>
      <w:divBdr>
        <w:top w:val="none" w:sz="0" w:space="0" w:color="auto"/>
        <w:left w:val="none" w:sz="0" w:space="0" w:color="auto"/>
        <w:bottom w:val="none" w:sz="0" w:space="0" w:color="auto"/>
        <w:right w:val="none" w:sz="0" w:space="0" w:color="auto"/>
      </w:divBdr>
    </w:div>
    <w:div w:id="161706931">
      <w:bodyDiv w:val="1"/>
      <w:marLeft w:val="0"/>
      <w:marRight w:val="0"/>
      <w:marTop w:val="0"/>
      <w:marBottom w:val="0"/>
      <w:divBdr>
        <w:top w:val="none" w:sz="0" w:space="0" w:color="auto"/>
        <w:left w:val="none" w:sz="0" w:space="0" w:color="auto"/>
        <w:bottom w:val="none" w:sz="0" w:space="0" w:color="auto"/>
        <w:right w:val="none" w:sz="0" w:space="0" w:color="auto"/>
      </w:divBdr>
    </w:div>
    <w:div w:id="283386821">
      <w:bodyDiv w:val="1"/>
      <w:marLeft w:val="0"/>
      <w:marRight w:val="0"/>
      <w:marTop w:val="0"/>
      <w:marBottom w:val="0"/>
      <w:divBdr>
        <w:top w:val="none" w:sz="0" w:space="0" w:color="auto"/>
        <w:left w:val="none" w:sz="0" w:space="0" w:color="auto"/>
        <w:bottom w:val="none" w:sz="0" w:space="0" w:color="auto"/>
        <w:right w:val="none" w:sz="0" w:space="0" w:color="auto"/>
      </w:divBdr>
    </w:div>
    <w:div w:id="305015396">
      <w:bodyDiv w:val="1"/>
      <w:marLeft w:val="0"/>
      <w:marRight w:val="0"/>
      <w:marTop w:val="0"/>
      <w:marBottom w:val="0"/>
      <w:divBdr>
        <w:top w:val="none" w:sz="0" w:space="0" w:color="auto"/>
        <w:left w:val="none" w:sz="0" w:space="0" w:color="auto"/>
        <w:bottom w:val="none" w:sz="0" w:space="0" w:color="auto"/>
        <w:right w:val="none" w:sz="0" w:space="0" w:color="auto"/>
      </w:divBdr>
    </w:div>
    <w:div w:id="359935050">
      <w:bodyDiv w:val="1"/>
      <w:marLeft w:val="0"/>
      <w:marRight w:val="0"/>
      <w:marTop w:val="0"/>
      <w:marBottom w:val="0"/>
      <w:divBdr>
        <w:top w:val="none" w:sz="0" w:space="0" w:color="auto"/>
        <w:left w:val="none" w:sz="0" w:space="0" w:color="auto"/>
        <w:bottom w:val="none" w:sz="0" w:space="0" w:color="auto"/>
        <w:right w:val="none" w:sz="0" w:space="0" w:color="auto"/>
      </w:divBdr>
    </w:div>
    <w:div w:id="378356147">
      <w:bodyDiv w:val="1"/>
      <w:marLeft w:val="0"/>
      <w:marRight w:val="0"/>
      <w:marTop w:val="0"/>
      <w:marBottom w:val="0"/>
      <w:divBdr>
        <w:top w:val="none" w:sz="0" w:space="0" w:color="auto"/>
        <w:left w:val="none" w:sz="0" w:space="0" w:color="auto"/>
        <w:bottom w:val="none" w:sz="0" w:space="0" w:color="auto"/>
        <w:right w:val="none" w:sz="0" w:space="0" w:color="auto"/>
      </w:divBdr>
    </w:div>
    <w:div w:id="410736449">
      <w:bodyDiv w:val="1"/>
      <w:marLeft w:val="0"/>
      <w:marRight w:val="0"/>
      <w:marTop w:val="0"/>
      <w:marBottom w:val="0"/>
      <w:divBdr>
        <w:top w:val="none" w:sz="0" w:space="0" w:color="auto"/>
        <w:left w:val="none" w:sz="0" w:space="0" w:color="auto"/>
        <w:bottom w:val="none" w:sz="0" w:space="0" w:color="auto"/>
        <w:right w:val="none" w:sz="0" w:space="0" w:color="auto"/>
      </w:divBdr>
    </w:div>
    <w:div w:id="413287271">
      <w:bodyDiv w:val="1"/>
      <w:marLeft w:val="0"/>
      <w:marRight w:val="0"/>
      <w:marTop w:val="0"/>
      <w:marBottom w:val="0"/>
      <w:divBdr>
        <w:top w:val="none" w:sz="0" w:space="0" w:color="auto"/>
        <w:left w:val="none" w:sz="0" w:space="0" w:color="auto"/>
        <w:bottom w:val="none" w:sz="0" w:space="0" w:color="auto"/>
        <w:right w:val="none" w:sz="0" w:space="0" w:color="auto"/>
      </w:divBdr>
    </w:div>
    <w:div w:id="487288677">
      <w:bodyDiv w:val="1"/>
      <w:marLeft w:val="0"/>
      <w:marRight w:val="0"/>
      <w:marTop w:val="0"/>
      <w:marBottom w:val="0"/>
      <w:divBdr>
        <w:top w:val="none" w:sz="0" w:space="0" w:color="auto"/>
        <w:left w:val="none" w:sz="0" w:space="0" w:color="auto"/>
        <w:bottom w:val="none" w:sz="0" w:space="0" w:color="auto"/>
        <w:right w:val="none" w:sz="0" w:space="0" w:color="auto"/>
      </w:divBdr>
    </w:div>
    <w:div w:id="637343435">
      <w:bodyDiv w:val="1"/>
      <w:marLeft w:val="0"/>
      <w:marRight w:val="0"/>
      <w:marTop w:val="0"/>
      <w:marBottom w:val="0"/>
      <w:divBdr>
        <w:top w:val="none" w:sz="0" w:space="0" w:color="auto"/>
        <w:left w:val="none" w:sz="0" w:space="0" w:color="auto"/>
        <w:bottom w:val="none" w:sz="0" w:space="0" w:color="auto"/>
        <w:right w:val="none" w:sz="0" w:space="0" w:color="auto"/>
      </w:divBdr>
    </w:div>
    <w:div w:id="670527505">
      <w:bodyDiv w:val="1"/>
      <w:marLeft w:val="0"/>
      <w:marRight w:val="0"/>
      <w:marTop w:val="0"/>
      <w:marBottom w:val="0"/>
      <w:divBdr>
        <w:top w:val="none" w:sz="0" w:space="0" w:color="auto"/>
        <w:left w:val="none" w:sz="0" w:space="0" w:color="auto"/>
        <w:bottom w:val="none" w:sz="0" w:space="0" w:color="auto"/>
        <w:right w:val="none" w:sz="0" w:space="0" w:color="auto"/>
      </w:divBdr>
    </w:div>
    <w:div w:id="845558466">
      <w:bodyDiv w:val="1"/>
      <w:marLeft w:val="0"/>
      <w:marRight w:val="0"/>
      <w:marTop w:val="0"/>
      <w:marBottom w:val="0"/>
      <w:divBdr>
        <w:top w:val="none" w:sz="0" w:space="0" w:color="auto"/>
        <w:left w:val="none" w:sz="0" w:space="0" w:color="auto"/>
        <w:bottom w:val="none" w:sz="0" w:space="0" w:color="auto"/>
        <w:right w:val="none" w:sz="0" w:space="0" w:color="auto"/>
      </w:divBdr>
    </w:div>
    <w:div w:id="884216221">
      <w:bodyDiv w:val="1"/>
      <w:marLeft w:val="0"/>
      <w:marRight w:val="0"/>
      <w:marTop w:val="0"/>
      <w:marBottom w:val="0"/>
      <w:divBdr>
        <w:top w:val="none" w:sz="0" w:space="0" w:color="auto"/>
        <w:left w:val="none" w:sz="0" w:space="0" w:color="auto"/>
        <w:bottom w:val="none" w:sz="0" w:space="0" w:color="auto"/>
        <w:right w:val="none" w:sz="0" w:space="0" w:color="auto"/>
      </w:divBdr>
    </w:div>
    <w:div w:id="1000933012">
      <w:bodyDiv w:val="1"/>
      <w:marLeft w:val="0"/>
      <w:marRight w:val="0"/>
      <w:marTop w:val="0"/>
      <w:marBottom w:val="0"/>
      <w:divBdr>
        <w:top w:val="none" w:sz="0" w:space="0" w:color="auto"/>
        <w:left w:val="none" w:sz="0" w:space="0" w:color="auto"/>
        <w:bottom w:val="none" w:sz="0" w:space="0" w:color="auto"/>
        <w:right w:val="none" w:sz="0" w:space="0" w:color="auto"/>
      </w:divBdr>
    </w:div>
    <w:div w:id="1027875137">
      <w:bodyDiv w:val="1"/>
      <w:marLeft w:val="0"/>
      <w:marRight w:val="0"/>
      <w:marTop w:val="0"/>
      <w:marBottom w:val="0"/>
      <w:divBdr>
        <w:top w:val="none" w:sz="0" w:space="0" w:color="auto"/>
        <w:left w:val="none" w:sz="0" w:space="0" w:color="auto"/>
        <w:bottom w:val="none" w:sz="0" w:space="0" w:color="auto"/>
        <w:right w:val="none" w:sz="0" w:space="0" w:color="auto"/>
      </w:divBdr>
    </w:div>
    <w:div w:id="1033845758">
      <w:bodyDiv w:val="1"/>
      <w:marLeft w:val="0"/>
      <w:marRight w:val="0"/>
      <w:marTop w:val="0"/>
      <w:marBottom w:val="0"/>
      <w:divBdr>
        <w:top w:val="none" w:sz="0" w:space="0" w:color="auto"/>
        <w:left w:val="none" w:sz="0" w:space="0" w:color="auto"/>
        <w:bottom w:val="none" w:sz="0" w:space="0" w:color="auto"/>
        <w:right w:val="none" w:sz="0" w:space="0" w:color="auto"/>
      </w:divBdr>
    </w:div>
    <w:div w:id="1043942434">
      <w:bodyDiv w:val="1"/>
      <w:marLeft w:val="0"/>
      <w:marRight w:val="0"/>
      <w:marTop w:val="0"/>
      <w:marBottom w:val="0"/>
      <w:divBdr>
        <w:top w:val="none" w:sz="0" w:space="0" w:color="auto"/>
        <w:left w:val="none" w:sz="0" w:space="0" w:color="auto"/>
        <w:bottom w:val="none" w:sz="0" w:space="0" w:color="auto"/>
        <w:right w:val="none" w:sz="0" w:space="0" w:color="auto"/>
      </w:divBdr>
    </w:div>
    <w:div w:id="1076319705">
      <w:bodyDiv w:val="1"/>
      <w:marLeft w:val="0"/>
      <w:marRight w:val="0"/>
      <w:marTop w:val="0"/>
      <w:marBottom w:val="0"/>
      <w:divBdr>
        <w:top w:val="none" w:sz="0" w:space="0" w:color="auto"/>
        <w:left w:val="none" w:sz="0" w:space="0" w:color="auto"/>
        <w:bottom w:val="none" w:sz="0" w:space="0" w:color="auto"/>
        <w:right w:val="none" w:sz="0" w:space="0" w:color="auto"/>
      </w:divBdr>
    </w:div>
    <w:div w:id="1244605409">
      <w:bodyDiv w:val="1"/>
      <w:marLeft w:val="0"/>
      <w:marRight w:val="0"/>
      <w:marTop w:val="0"/>
      <w:marBottom w:val="0"/>
      <w:divBdr>
        <w:top w:val="none" w:sz="0" w:space="0" w:color="auto"/>
        <w:left w:val="none" w:sz="0" w:space="0" w:color="auto"/>
        <w:bottom w:val="none" w:sz="0" w:space="0" w:color="auto"/>
        <w:right w:val="none" w:sz="0" w:space="0" w:color="auto"/>
      </w:divBdr>
    </w:div>
    <w:div w:id="1273323007">
      <w:bodyDiv w:val="1"/>
      <w:marLeft w:val="0"/>
      <w:marRight w:val="0"/>
      <w:marTop w:val="0"/>
      <w:marBottom w:val="0"/>
      <w:divBdr>
        <w:top w:val="none" w:sz="0" w:space="0" w:color="auto"/>
        <w:left w:val="none" w:sz="0" w:space="0" w:color="auto"/>
        <w:bottom w:val="none" w:sz="0" w:space="0" w:color="auto"/>
        <w:right w:val="none" w:sz="0" w:space="0" w:color="auto"/>
      </w:divBdr>
    </w:div>
    <w:div w:id="1462261578">
      <w:bodyDiv w:val="1"/>
      <w:marLeft w:val="0"/>
      <w:marRight w:val="0"/>
      <w:marTop w:val="0"/>
      <w:marBottom w:val="0"/>
      <w:divBdr>
        <w:top w:val="none" w:sz="0" w:space="0" w:color="auto"/>
        <w:left w:val="none" w:sz="0" w:space="0" w:color="auto"/>
        <w:bottom w:val="none" w:sz="0" w:space="0" w:color="auto"/>
        <w:right w:val="none" w:sz="0" w:space="0" w:color="auto"/>
      </w:divBdr>
    </w:div>
    <w:div w:id="1483155838">
      <w:bodyDiv w:val="1"/>
      <w:marLeft w:val="0"/>
      <w:marRight w:val="0"/>
      <w:marTop w:val="0"/>
      <w:marBottom w:val="0"/>
      <w:divBdr>
        <w:top w:val="none" w:sz="0" w:space="0" w:color="auto"/>
        <w:left w:val="none" w:sz="0" w:space="0" w:color="auto"/>
        <w:bottom w:val="none" w:sz="0" w:space="0" w:color="auto"/>
        <w:right w:val="none" w:sz="0" w:space="0" w:color="auto"/>
      </w:divBdr>
    </w:div>
    <w:div w:id="1529220824">
      <w:bodyDiv w:val="1"/>
      <w:marLeft w:val="0"/>
      <w:marRight w:val="0"/>
      <w:marTop w:val="0"/>
      <w:marBottom w:val="0"/>
      <w:divBdr>
        <w:top w:val="none" w:sz="0" w:space="0" w:color="auto"/>
        <w:left w:val="none" w:sz="0" w:space="0" w:color="auto"/>
        <w:bottom w:val="none" w:sz="0" w:space="0" w:color="auto"/>
        <w:right w:val="none" w:sz="0" w:space="0" w:color="auto"/>
      </w:divBdr>
    </w:div>
    <w:div w:id="1571382204">
      <w:bodyDiv w:val="1"/>
      <w:marLeft w:val="0"/>
      <w:marRight w:val="0"/>
      <w:marTop w:val="0"/>
      <w:marBottom w:val="0"/>
      <w:divBdr>
        <w:top w:val="none" w:sz="0" w:space="0" w:color="auto"/>
        <w:left w:val="none" w:sz="0" w:space="0" w:color="auto"/>
        <w:bottom w:val="none" w:sz="0" w:space="0" w:color="auto"/>
        <w:right w:val="none" w:sz="0" w:space="0" w:color="auto"/>
      </w:divBdr>
    </w:div>
    <w:div w:id="1626809577">
      <w:bodyDiv w:val="1"/>
      <w:marLeft w:val="0"/>
      <w:marRight w:val="0"/>
      <w:marTop w:val="0"/>
      <w:marBottom w:val="0"/>
      <w:divBdr>
        <w:top w:val="none" w:sz="0" w:space="0" w:color="auto"/>
        <w:left w:val="none" w:sz="0" w:space="0" w:color="auto"/>
        <w:bottom w:val="none" w:sz="0" w:space="0" w:color="auto"/>
        <w:right w:val="none" w:sz="0" w:space="0" w:color="auto"/>
      </w:divBdr>
    </w:div>
    <w:div w:id="1683780463">
      <w:bodyDiv w:val="1"/>
      <w:marLeft w:val="0"/>
      <w:marRight w:val="0"/>
      <w:marTop w:val="0"/>
      <w:marBottom w:val="0"/>
      <w:divBdr>
        <w:top w:val="none" w:sz="0" w:space="0" w:color="auto"/>
        <w:left w:val="none" w:sz="0" w:space="0" w:color="auto"/>
        <w:bottom w:val="none" w:sz="0" w:space="0" w:color="auto"/>
        <w:right w:val="none" w:sz="0" w:space="0" w:color="auto"/>
      </w:divBdr>
    </w:div>
    <w:div w:id="1759709722">
      <w:bodyDiv w:val="1"/>
      <w:marLeft w:val="0"/>
      <w:marRight w:val="0"/>
      <w:marTop w:val="0"/>
      <w:marBottom w:val="0"/>
      <w:divBdr>
        <w:top w:val="none" w:sz="0" w:space="0" w:color="auto"/>
        <w:left w:val="none" w:sz="0" w:space="0" w:color="auto"/>
        <w:bottom w:val="none" w:sz="0" w:space="0" w:color="auto"/>
        <w:right w:val="none" w:sz="0" w:space="0" w:color="auto"/>
      </w:divBdr>
    </w:div>
    <w:div w:id="1899783330">
      <w:bodyDiv w:val="1"/>
      <w:marLeft w:val="0"/>
      <w:marRight w:val="0"/>
      <w:marTop w:val="0"/>
      <w:marBottom w:val="0"/>
      <w:divBdr>
        <w:top w:val="none" w:sz="0" w:space="0" w:color="auto"/>
        <w:left w:val="none" w:sz="0" w:space="0" w:color="auto"/>
        <w:bottom w:val="none" w:sz="0" w:space="0" w:color="auto"/>
        <w:right w:val="none" w:sz="0" w:space="0" w:color="auto"/>
      </w:divBdr>
    </w:div>
    <w:div w:id="1949045989">
      <w:bodyDiv w:val="1"/>
      <w:marLeft w:val="0"/>
      <w:marRight w:val="0"/>
      <w:marTop w:val="0"/>
      <w:marBottom w:val="0"/>
      <w:divBdr>
        <w:top w:val="none" w:sz="0" w:space="0" w:color="auto"/>
        <w:left w:val="none" w:sz="0" w:space="0" w:color="auto"/>
        <w:bottom w:val="none" w:sz="0" w:space="0" w:color="auto"/>
        <w:right w:val="none" w:sz="0" w:space="0" w:color="auto"/>
      </w:divBdr>
    </w:div>
    <w:div w:id="2055079161">
      <w:bodyDiv w:val="1"/>
      <w:marLeft w:val="0"/>
      <w:marRight w:val="0"/>
      <w:marTop w:val="0"/>
      <w:marBottom w:val="0"/>
      <w:divBdr>
        <w:top w:val="none" w:sz="0" w:space="0" w:color="auto"/>
        <w:left w:val="none" w:sz="0" w:space="0" w:color="auto"/>
        <w:bottom w:val="none" w:sz="0" w:space="0" w:color="auto"/>
        <w:right w:val="none" w:sz="0" w:space="0" w:color="auto"/>
      </w:divBdr>
    </w:div>
    <w:div w:id="2087923097">
      <w:bodyDiv w:val="1"/>
      <w:marLeft w:val="0"/>
      <w:marRight w:val="0"/>
      <w:marTop w:val="0"/>
      <w:marBottom w:val="0"/>
      <w:divBdr>
        <w:top w:val="none" w:sz="0" w:space="0" w:color="auto"/>
        <w:left w:val="none" w:sz="0" w:space="0" w:color="auto"/>
        <w:bottom w:val="none" w:sz="0" w:space="0" w:color="auto"/>
        <w:right w:val="none" w:sz="0" w:space="0" w:color="auto"/>
      </w:divBdr>
    </w:div>
    <w:div w:id="2118329295">
      <w:bodyDiv w:val="1"/>
      <w:marLeft w:val="0"/>
      <w:marRight w:val="0"/>
      <w:marTop w:val="0"/>
      <w:marBottom w:val="0"/>
      <w:divBdr>
        <w:top w:val="none" w:sz="0" w:space="0" w:color="auto"/>
        <w:left w:val="none" w:sz="0" w:space="0" w:color="auto"/>
        <w:bottom w:val="none" w:sz="0" w:space="0" w:color="auto"/>
        <w:right w:val="none" w:sz="0" w:space="0" w:color="auto"/>
      </w:divBdr>
    </w:div>
    <w:div w:id="2122066891">
      <w:bodyDiv w:val="1"/>
      <w:marLeft w:val="0"/>
      <w:marRight w:val="0"/>
      <w:marTop w:val="0"/>
      <w:marBottom w:val="0"/>
      <w:divBdr>
        <w:top w:val="none" w:sz="0" w:space="0" w:color="auto"/>
        <w:left w:val="none" w:sz="0" w:space="0" w:color="auto"/>
        <w:bottom w:val="none" w:sz="0" w:space="0" w:color="auto"/>
        <w:right w:val="none" w:sz="0" w:space="0" w:color="auto"/>
      </w:divBdr>
    </w:div>
    <w:div w:id="212850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yperlink" Target="https://yorknorthyorks-ca.gov.uk/wp-content/uploads/2025/07/YNYCA-Value-and-Behaviours.pdf" TargetMode="External"/><Relationship Id="rId10" Type="http://schemas.openxmlformats.org/officeDocument/2006/relationships/diagramData" Target="diagrams/data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79C07A-F750-4B82-A8DD-529E14084A2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3DF744DC-0E1F-48A4-90C7-835028FB3A5B}">
      <dgm:prSet phldrT="[Text]"/>
      <dgm:spPr>
        <a:solidFill>
          <a:srgbClr val="E4F9F1">
            <a:alpha val="90000"/>
          </a:srgbClr>
        </a:solidFill>
        <a:ln>
          <a:solidFill>
            <a:srgbClr val="008577"/>
          </a:solidFill>
        </a:ln>
      </dgm:spPr>
      <dgm:t>
        <a:bodyPr/>
        <a:lstStyle/>
        <a:p>
          <a:r>
            <a:rPr lang="en-US"/>
            <a:t>Director of Resources </a:t>
          </a:r>
        </a:p>
      </dgm:t>
    </dgm:pt>
    <dgm:pt modelId="{CFC8FA90-1C38-4FBD-8B06-789AC3CA5AF9}" type="parTrans" cxnId="{13C88B9B-9202-4CE1-8289-CAADA4FBAB2C}">
      <dgm:prSet/>
      <dgm:spPr/>
      <dgm:t>
        <a:bodyPr/>
        <a:lstStyle/>
        <a:p>
          <a:endParaRPr lang="en-US"/>
        </a:p>
      </dgm:t>
    </dgm:pt>
    <dgm:pt modelId="{4AC0923C-0D94-412A-9CAE-2E5FC33DE5D7}" type="sibTrans" cxnId="{13C88B9B-9202-4CE1-8289-CAADA4FBAB2C}">
      <dgm:prSet/>
      <dgm:spPr/>
      <dgm:t>
        <a:bodyPr/>
        <a:lstStyle/>
        <a:p>
          <a:endParaRPr lang="en-US"/>
        </a:p>
      </dgm:t>
    </dgm:pt>
    <dgm:pt modelId="{A6B29937-80EF-4AE4-A80A-706CE39B6BE0}">
      <dgm:prSet phldrT="[Text]"/>
      <dgm:spPr>
        <a:solidFill>
          <a:srgbClr val="E4F9F1">
            <a:alpha val="90000"/>
          </a:srgbClr>
        </a:solidFill>
        <a:ln>
          <a:solidFill>
            <a:srgbClr val="008577"/>
          </a:solidFill>
        </a:ln>
      </dgm:spPr>
      <dgm:t>
        <a:bodyPr/>
        <a:lstStyle/>
        <a:p>
          <a:r>
            <a:rPr lang="en-US"/>
            <a:t>Head of Assurance </a:t>
          </a:r>
        </a:p>
      </dgm:t>
    </dgm:pt>
    <dgm:pt modelId="{520DB6FD-35CE-4563-8362-01A4E5AD5B2C}" type="parTrans" cxnId="{22C2567E-6E10-41E5-8543-015EB9A1D910}">
      <dgm:prSet/>
      <dgm:spPr>
        <a:ln>
          <a:solidFill>
            <a:srgbClr val="008577"/>
          </a:solidFill>
        </a:ln>
      </dgm:spPr>
      <dgm:t>
        <a:bodyPr/>
        <a:lstStyle/>
        <a:p>
          <a:endParaRPr lang="en-US"/>
        </a:p>
      </dgm:t>
    </dgm:pt>
    <dgm:pt modelId="{1C19A857-7101-435F-A1C5-2C11E870CA0E}" type="sibTrans" cxnId="{22C2567E-6E10-41E5-8543-015EB9A1D910}">
      <dgm:prSet/>
      <dgm:spPr/>
      <dgm:t>
        <a:bodyPr/>
        <a:lstStyle/>
        <a:p>
          <a:endParaRPr lang="en-US"/>
        </a:p>
      </dgm:t>
    </dgm:pt>
    <dgm:pt modelId="{359E3DD7-E848-45FA-9ACC-3D35ED6C3ACD}">
      <dgm:prSet/>
      <dgm:spPr>
        <a:solidFill>
          <a:srgbClr val="E4F9F1">
            <a:alpha val="90000"/>
          </a:srgbClr>
        </a:solidFill>
        <a:ln>
          <a:solidFill>
            <a:srgbClr val="008577"/>
          </a:solidFill>
        </a:ln>
      </dgm:spPr>
      <dgm:t>
        <a:bodyPr/>
        <a:lstStyle/>
        <a:p>
          <a:r>
            <a:rPr lang="en-US"/>
            <a:t>Assurance and Risk Manager </a:t>
          </a:r>
        </a:p>
      </dgm:t>
    </dgm:pt>
    <dgm:pt modelId="{C3781817-D6FE-439C-975C-4327FE0F8FC0}" type="parTrans" cxnId="{9EC198D2-3A61-4FB8-994D-11A36361DAE5}">
      <dgm:prSet/>
      <dgm:spPr>
        <a:ln>
          <a:solidFill>
            <a:srgbClr val="008577"/>
          </a:solidFill>
        </a:ln>
      </dgm:spPr>
      <dgm:t>
        <a:bodyPr/>
        <a:lstStyle/>
        <a:p>
          <a:endParaRPr lang="en-US"/>
        </a:p>
      </dgm:t>
    </dgm:pt>
    <dgm:pt modelId="{FAB6EE7E-6138-485B-8E88-364FFE380FD5}" type="sibTrans" cxnId="{9EC198D2-3A61-4FB8-994D-11A36361DAE5}">
      <dgm:prSet/>
      <dgm:spPr/>
      <dgm:t>
        <a:bodyPr/>
        <a:lstStyle/>
        <a:p>
          <a:endParaRPr lang="en-US"/>
        </a:p>
      </dgm:t>
    </dgm:pt>
    <dgm:pt modelId="{DF912D84-EF9C-41B0-8CA8-C04F805C0901}">
      <dgm:prSet/>
      <dgm:spPr/>
      <dgm:t>
        <a:bodyPr/>
        <a:lstStyle/>
        <a:p>
          <a:r>
            <a:rPr lang="en-GB"/>
            <a:t>Performance Manager </a:t>
          </a:r>
        </a:p>
      </dgm:t>
    </dgm:pt>
    <dgm:pt modelId="{A5F3D7CC-B65C-4B7E-9C9B-DA496A7787B9}" type="parTrans" cxnId="{B2CF7A74-BC1B-4EBC-95A0-A10DDF7D3810}">
      <dgm:prSet/>
      <dgm:spPr/>
      <dgm:t>
        <a:bodyPr/>
        <a:lstStyle/>
        <a:p>
          <a:endParaRPr lang="en-GB"/>
        </a:p>
      </dgm:t>
    </dgm:pt>
    <dgm:pt modelId="{86CD6869-B904-4A4F-934A-6B3D8C216F80}" type="sibTrans" cxnId="{B2CF7A74-BC1B-4EBC-95A0-A10DDF7D3810}">
      <dgm:prSet/>
      <dgm:spPr/>
      <dgm:t>
        <a:bodyPr/>
        <a:lstStyle/>
        <a:p>
          <a:endParaRPr lang="en-GB"/>
        </a:p>
      </dgm:t>
    </dgm:pt>
    <dgm:pt modelId="{95F6FB85-C3EF-4B77-A404-8C4643A65A00}" type="pres">
      <dgm:prSet presAssocID="{6079C07A-F750-4B82-A8DD-529E14084A20}" presName="hierChild1" presStyleCnt="0">
        <dgm:presLayoutVars>
          <dgm:chPref val="1"/>
          <dgm:dir/>
          <dgm:animOne val="branch"/>
          <dgm:animLvl val="lvl"/>
          <dgm:resizeHandles/>
        </dgm:presLayoutVars>
      </dgm:prSet>
      <dgm:spPr/>
    </dgm:pt>
    <dgm:pt modelId="{65763DF0-009F-4171-B0F2-3B220595A632}" type="pres">
      <dgm:prSet presAssocID="{3DF744DC-0E1F-48A4-90C7-835028FB3A5B}" presName="hierRoot1" presStyleCnt="0"/>
      <dgm:spPr/>
    </dgm:pt>
    <dgm:pt modelId="{6733BB7E-11D4-4EE0-88C6-152B6898335F}" type="pres">
      <dgm:prSet presAssocID="{3DF744DC-0E1F-48A4-90C7-835028FB3A5B}" presName="composite" presStyleCnt="0"/>
      <dgm:spPr/>
    </dgm:pt>
    <dgm:pt modelId="{ECF9C934-5E37-41F1-99DA-A9FE6E2C8BE5}" type="pres">
      <dgm:prSet presAssocID="{3DF744DC-0E1F-48A4-90C7-835028FB3A5B}" presName="background" presStyleLbl="node0" presStyleIdx="0" presStyleCnt="1"/>
      <dgm:spPr>
        <a:solidFill>
          <a:srgbClr val="008577"/>
        </a:solidFill>
      </dgm:spPr>
    </dgm:pt>
    <dgm:pt modelId="{CA46132C-C813-4A6C-B7D9-8B465EFBEC22}" type="pres">
      <dgm:prSet presAssocID="{3DF744DC-0E1F-48A4-90C7-835028FB3A5B}" presName="text" presStyleLbl="fgAcc0" presStyleIdx="0" presStyleCnt="1">
        <dgm:presLayoutVars>
          <dgm:chPref val="3"/>
        </dgm:presLayoutVars>
      </dgm:prSet>
      <dgm:spPr/>
    </dgm:pt>
    <dgm:pt modelId="{C09F38C2-A2C6-40AA-B335-9845277BBE1C}" type="pres">
      <dgm:prSet presAssocID="{3DF744DC-0E1F-48A4-90C7-835028FB3A5B}" presName="hierChild2" presStyleCnt="0"/>
      <dgm:spPr/>
    </dgm:pt>
    <dgm:pt modelId="{E319A365-9A07-488C-96FD-FB780D5F74EA}" type="pres">
      <dgm:prSet presAssocID="{520DB6FD-35CE-4563-8362-01A4E5AD5B2C}" presName="Name10" presStyleLbl="parChTrans1D2" presStyleIdx="0" presStyleCnt="1"/>
      <dgm:spPr/>
    </dgm:pt>
    <dgm:pt modelId="{859850E0-E466-4F91-A40D-52C806455C99}" type="pres">
      <dgm:prSet presAssocID="{A6B29937-80EF-4AE4-A80A-706CE39B6BE0}" presName="hierRoot2" presStyleCnt="0"/>
      <dgm:spPr/>
    </dgm:pt>
    <dgm:pt modelId="{C69CC03B-5FAF-4644-B048-E9267963606D}" type="pres">
      <dgm:prSet presAssocID="{A6B29937-80EF-4AE4-A80A-706CE39B6BE0}" presName="composite2" presStyleCnt="0"/>
      <dgm:spPr/>
    </dgm:pt>
    <dgm:pt modelId="{E3E2160A-C70D-438E-BE4B-63644B985DC0}" type="pres">
      <dgm:prSet presAssocID="{A6B29937-80EF-4AE4-A80A-706CE39B6BE0}" presName="background2" presStyleLbl="node2" presStyleIdx="0" presStyleCnt="1"/>
      <dgm:spPr>
        <a:solidFill>
          <a:srgbClr val="008577"/>
        </a:solidFill>
      </dgm:spPr>
    </dgm:pt>
    <dgm:pt modelId="{2F91837F-EF1F-49D1-B21C-206A5F8C0EFD}" type="pres">
      <dgm:prSet presAssocID="{A6B29937-80EF-4AE4-A80A-706CE39B6BE0}" presName="text2" presStyleLbl="fgAcc2" presStyleIdx="0" presStyleCnt="1">
        <dgm:presLayoutVars>
          <dgm:chPref val="3"/>
        </dgm:presLayoutVars>
      </dgm:prSet>
      <dgm:spPr/>
    </dgm:pt>
    <dgm:pt modelId="{F0845906-FC26-4D83-B719-7686E8AC273A}" type="pres">
      <dgm:prSet presAssocID="{A6B29937-80EF-4AE4-A80A-706CE39B6BE0}" presName="hierChild3" presStyleCnt="0"/>
      <dgm:spPr/>
    </dgm:pt>
    <dgm:pt modelId="{83D552F3-8F31-4D85-AFD4-B470605997FE}" type="pres">
      <dgm:prSet presAssocID="{C3781817-D6FE-439C-975C-4327FE0F8FC0}" presName="Name17" presStyleLbl="parChTrans1D3" presStyleIdx="0" presStyleCnt="2"/>
      <dgm:spPr/>
    </dgm:pt>
    <dgm:pt modelId="{2C4EB86E-AE82-46A2-8D02-BAA7597BFAF2}" type="pres">
      <dgm:prSet presAssocID="{359E3DD7-E848-45FA-9ACC-3D35ED6C3ACD}" presName="hierRoot3" presStyleCnt="0"/>
      <dgm:spPr/>
    </dgm:pt>
    <dgm:pt modelId="{5642E46A-45F8-4102-9782-B487DB7741F4}" type="pres">
      <dgm:prSet presAssocID="{359E3DD7-E848-45FA-9ACC-3D35ED6C3ACD}" presName="composite3" presStyleCnt="0"/>
      <dgm:spPr/>
    </dgm:pt>
    <dgm:pt modelId="{3635B322-1B55-4D43-AF65-CADD6C6A50A4}" type="pres">
      <dgm:prSet presAssocID="{359E3DD7-E848-45FA-9ACC-3D35ED6C3ACD}" presName="background3" presStyleLbl="node3" presStyleIdx="0" presStyleCnt="2"/>
      <dgm:spPr>
        <a:solidFill>
          <a:srgbClr val="008577"/>
        </a:solidFill>
        <a:ln>
          <a:solidFill>
            <a:srgbClr val="008577"/>
          </a:solidFill>
        </a:ln>
      </dgm:spPr>
    </dgm:pt>
    <dgm:pt modelId="{58459323-DA97-43BF-9EC1-E3A920402752}" type="pres">
      <dgm:prSet presAssocID="{359E3DD7-E848-45FA-9ACC-3D35ED6C3ACD}" presName="text3" presStyleLbl="fgAcc3" presStyleIdx="0" presStyleCnt="2">
        <dgm:presLayoutVars>
          <dgm:chPref val="3"/>
        </dgm:presLayoutVars>
      </dgm:prSet>
      <dgm:spPr/>
    </dgm:pt>
    <dgm:pt modelId="{73C678BC-B9B0-4029-A940-0FF0809183CB}" type="pres">
      <dgm:prSet presAssocID="{359E3DD7-E848-45FA-9ACC-3D35ED6C3ACD}" presName="hierChild4" presStyleCnt="0"/>
      <dgm:spPr/>
    </dgm:pt>
    <dgm:pt modelId="{3F2176D3-7A05-45B4-B557-A6DB4F28EE5A}" type="pres">
      <dgm:prSet presAssocID="{A5F3D7CC-B65C-4B7E-9C9B-DA496A7787B9}" presName="Name17" presStyleLbl="parChTrans1D3" presStyleIdx="1" presStyleCnt="2"/>
      <dgm:spPr/>
    </dgm:pt>
    <dgm:pt modelId="{2E89610E-A861-4435-A232-77D6542B20D6}" type="pres">
      <dgm:prSet presAssocID="{DF912D84-EF9C-41B0-8CA8-C04F805C0901}" presName="hierRoot3" presStyleCnt="0"/>
      <dgm:spPr/>
    </dgm:pt>
    <dgm:pt modelId="{7B30F9DD-4B81-40DA-9787-CF7F7A1CB4FD}" type="pres">
      <dgm:prSet presAssocID="{DF912D84-EF9C-41B0-8CA8-C04F805C0901}" presName="composite3" presStyleCnt="0"/>
      <dgm:spPr/>
    </dgm:pt>
    <dgm:pt modelId="{53078E70-BAE8-4B9F-A3BF-0DDF271DF489}" type="pres">
      <dgm:prSet presAssocID="{DF912D84-EF9C-41B0-8CA8-C04F805C0901}" presName="background3" presStyleLbl="node3" presStyleIdx="1" presStyleCnt="2"/>
      <dgm:spPr/>
    </dgm:pt>
    <dgm:pt modelId="{CF334CB3-213D-40B1-B45E-2662F7ED54DA}" type="pres">
      <dgm:prSet presAssocID="{DF912D84-EF9C-41B0-8CA8-C04F805C0901}" presName="text3" presStyleLbl="fgAcc3" presStyleIdx="1" presStyleCnt="2">
        <dgm:presLayoutVars>
          <dgm:chPref val="3"/>
        </dgm:presLayoutVars>
      </dgm:prSet>
      <dgm:spPr/>
    </dgm:pt>
    <dgm:pt modelId="{268F4045-93F5-49CF-93FA-300C0EB2D09B}" type="pres">
      <dgm:prSet presAssocID="{DF912D84-EF9C-41B0-8CA8-C04F805C0901}" presName="hierChild4" presStyleCnt="0"/>
      <dgm:spPr/>
    </dgm:pt>
  </dgm:ptLst>
  <dgm:cxnLst>
    <dgm:cxn modelId="{F5F4F21F-A068-47AB-9C16-7FA0564F82F5}" type="presOf" srcId="{520DB6FD-35CE-4563-8362-01A4E5AD5B2C}" destId="{E319A365-9A07-488C-96FD-FB780D5F74EA}" srcOrd="0" destOrd="0" presId="urn:microsoft.com/office/officeart/2005/8/layout/hierarchy1"/>
    <dgm:cxn modelId="{E73C7635-57C5-4037-A17E-D35A71860D81}" type="presOf" srcId="{3DF744DC-0E1F-48A4-90C7-835028FB3A5B}" destId="{CA46132C-C813-4A6C-B7D9-8B465EFBEC22}" srcOrd="0" destOrd="0" presId="urn:microsoft.com/office/officeart/2005/8/layout/hierarchy1"/>
    <dgm:cxn modelId="{01D3FF3C-21CC-4951-B2A4-65A38DADD8B9}" type="presOf" srcId="{359E3DD7-E848-45FA-9ACC-3D35ED6C3ACD}" destId="{58459323-DA97-43BF-9EC1-E3A920402752}" srcOrd="0" destOrd="0" presId="urn:microsoft.com/office/officeart/2005/8/layout/hierarchy1"/>
    <dgm:cxn modelId="{1568F341-EB4B-44AC-8D72-AB8DBEA27762}" type="presOf" srcId="{C3781817-D6FE-439C-975C-4327FE0F8FC0}" destId="{83D552F3-8F31-4D85-AFD4-B470605997FE}" srcOrd="0" destOrd="0" presId="urn:microsoft.com/office/officeart/2005/8/layout/hierarchy1"/>
    <dgm:cxn modelId="{83F40564-DF9C-422B-B879-9C28881C0A3F}" type="presOf" srcId="{6079C07A-F750-4B82-A8DD-529E14084A20}" destId="{95F6FB85-C3EF-4B77-A404-8C4643A65A00}" srcOrd="0" destOrd="0" presId="urn:microsoft.com/office/officeart/2005/8/layout/hierarchy1"/>
    <dgm:cxn modelId="{B2CF7A74-BC1B-4EBC-95A0-A10DDF7D3810}" srcId="{A6B29937-80EF-4AE4-A80A-706CE39B6BE0}" destId="{DF912D84-EF9C-41B0-8CA8-C04F805C0901}" srcOrd="1" destOrd="0" parTransId="{A5F3D7CC-B65C-4B7E-9C9B-DA496A7787B9}" sibTransId="{86CD6869-B904-4A4F-934A-6B3D8C216F80}"/>
    <dgm:cxn modelId="{22C2567E-6E10-41E5-8543-015EB9A1D910}" srcId="{3DF744DC-0E1F-48A4-90C7-835028FB3A5B}" destId="{A6B29937-80EF-4AE4-A80A-706CE39B6BE0}" srcOrd="0" destOrd="0" parTransId="{520DB6FD-35CE-4563-8362-01A4E5AD5B2C}" sibTransId="{1C19A857-7101-435F-A1C5-2C11E870CA0E}"/>
    <dgm:cxn modelId="{13C88B9B-9202-4CE1-8289-CAADA4FBAB2C}" srcId="{6079C07A-F750-4B82-A8DD-529E14084A20}" destId="{3DF744DC-0E1F-48A4-90C7-835028FB3A5B}" srcOrd="0" destOrd="0" parTransId="{CFC8FA90-1C38-4FBD-8B06-789AC3CA5AF9}" sibTransId="{4AC0923C-0D94-412A-9CAE-2E5FC33DE5D7}"/>
    <dgm:cxn modelId="{CDB4BD9C-FC44-438D-AC91-2EF629CA62E2}" type="presOf" srcId="{A6B29937-80EF-4AE4-A80A-706CE39B6BE0}" destId="{2F91837F-EF1F-49D1-B21C-206A5F8C0EFD}" srcOrd="0" destOrd="0" presId="urn:microsoft.com/office/officeart/2005/8/layout/hierarchy1"/>
    <dgm:cxn modelId="{9EC198D2-3A61-4FB8-994D-11A36361DAE5}" srcId="{A6B29937-80EF-4AE4-A80A-706CE39B6BE0}" destId="{359E3DD7-E848-45FA-9ACC-3D35ED6C3ACD}" srcOrd="0" destOrd="0" parTransId="{C3781817-D6FE-439C-975C-4327FE0F8FC0}" sibTransId="{FAB6EE7E-6138-485B-8E88-364FFE380FD5}"/>
    <dgm:cxn modelId="{648EC6D2-0C58-4B70-8468-85B42D343791}" type="presOf" srcId="{A5F3D7CC-B65C-4B7E-9C9B-DA496A7787B9}" destId="{3F2176D3-7A05-45B4-B557-A6DB4F28EE5A}" srcOrd="0" destOrd="0" presId="urn:microsoft.com/office/officeart/2005/8/layout/hierarchy1"/>
    <dgm:cxn modelId="{FB743DFD-94AB-497B-AE18-5AC7DC2431AE}" type="presOf" srcId="{DF912D84-EF9C-41B0-8CA8-C04F805C0901}" destId="{CF334CB3-213D-40B1-B45E-2662F7ED54DA}" srcOrd="0" destOrd="0" presId="urn:microsoft.com/office/officeart/2005/8/layout/hierarchy1"/>
    <dgm:cxn modelId="{304865DC-3E88-4141-A09D-50A4DCAABEEA}" type="presParOf" srcId="{95F6FB85-C3EF-4B77-A404-8C4643A65A00}" destId="{65763DF0-009F-4171-B0F2-3B220595A632}" srcOrd="0" destOrd="0" presId="urn:microsoft.com/office/officeart/2005/8/layout/hierarchy1"/>
    <dgm:cxn modelId="{DCC16B46-885B-41A9-8B1A-B544235591D8}" type="presParOf" srcId="{65763DF0-009F-4171-B0F2-3B220595A632}" destId="{6733BB7E-11D4-4EE0-88C6-152B6898335F}" srcOrd="0" destOrd="0" presId="urn:microsoft.com/office/officeart/2005/8/layout/hierarchy1"/>
    <dgm:cxn modelId="{1E90485D-6D40-486F-8C8F-0D9D345D3A47}" type="presParOf" srcId="{6733BB7E-11D4-4EE0-88C6-152B6898335F}" destId="{ECF9C934-5E37-41F1-99DA-A9FE6E2C8BE5}" srcOrd="0" destOrd="0" presId="urn:microsoft.com/office/officeart/2005/8/layout/hierarchy1"/>
    <dgm:cxn modelId="{5B2BE8E3-D01F-478B-9A48-36DD21BBC0AE}" type="presParOf" srcId="{6733BB7E-11D4-4EE0-88C6-152B6898335F}" destId="{CA46132C-C813-4A6C-B7D9-8B465EFBEC22}" srcOrd="1" destOrd="0" presId="urn:microsoft.com/office/officeart/2005/8/layout/hierarchy1"/>
    <dgm:cxn modelId="{EC0DE015-5709-4EB9-BA0B-EFACE1A974F3}" type="presParOf" srcId="{65763DF0-009F-4171-B0F2-3B220595A632}" destId="{C09F38C2-A2C6-40AA-B335-9845277BBE1C}" srcOrd="1" destOrd="0" presId="urn:microsoft.com/office/officeart/2005/8/layout/hierarchy1"/>
    <dgm:cxn modelId="{8040B527-D5DF-40E5-BA59-F430FFFA565E}" type="presParOf" srcId="{C09F38C2-A2C6-40AA-B335-9845277BBE1C}" destId="{E319A365-9A07-488C-96FD-FB780D5F74EA}" srcOrd="0" destOrd="0" presId="urn:microsoft.com/office/officeart/2005/8/layout/hierarchy1"/>
    <dgm:cxn modelId="{EDFE932F-272D-4C64-8847-F120027E04A7}" type="presParOf" srcId="{C09F38C2-A2C6-40AA-B335-9845277BBE1C}" destId="{859850E0-E466-4F91-A40D-52C806455C99}" srcOrd="1" destOrd="0" presId="urn:microsoft.com/office/officeart/2005/8/layout/hierarchy1"/>
    <dgm:cxn modelId="{B5ADFC39-F1F3-4848-B595-C104529456C0}" type="presParOf" srcId="{859850E0-E466-4F91-A40D-52C806455C99}" destId="{C69CC03B-5FAF-4644-B048-E9267963606D}" srcOrd="0" destOrd="0" presId="urn:microsoft.com/office/officeart/2005/8/layout/hierarchy1"/>
    <dgm:cxn modelId="{50AC5F8A-B96D-483C-8EF1-AD7B6A465CD8}" type="presParOf" srcId="{C69CC03B-5FAF-4644-B048-E9267963606D}" destId="{E3E2160A-C70D-438E-BE4B-63644B985DC0}" srcOrd="0" destOrd="0" presId="urn:microsoft.com/office/officeart/2005/8/layout/hierarchy1"/>
    <dgm:cxn modelId="{E672D0FA-5ACC-4B73-8C62-9EA5EA87E237}" type="presParOf" srcId="{C69CC03B-5FAF-4644-B048-E9267963606D}" destId="{2F91837F-EF1F-49D1-B21C-206A5F8C0EFD}" srcOrd="1" destOrd="0" presId="urn:microsoft.com/office/officeart/2005/8/layout/hierarchy1"/>
    <dgm:cxn modelId="{03E3757F-2CE6-4BCD-8B2F-C66D320B0047}" type="presParOf" srcId="{859850E0-E466-4F91-A40D-52C806455C99}" destId="{F0845906-FC26-4D83-B719-7686E8AC273A}" srcOrd="1" destOrd="0" presId="urn:microsoft.com/office/officeart/2005/8/layout/hierarchy1"/>
    <dgm:cxn modelId="{342F42BD-E3CD-466B-B76E-5B74265643FB}" type="presParOf" srcId="{F0845906-FC26-4D83-B719-7686E8AC273A}" destId="{83D552F3-8F31-4D85-AFD4-B470605997FE}" srcOrd="0" destOrd="0" presId="urn:microsoft.com/office/officeart/2005/8/layout/hierarchy1"/>
    <dgm:cxn modelId="{A86F64EA-4BE0-4B33-851E-42A6D71B015C}" type="presParOf" srcId="{F0845906-FC26-4D83-B719-7686E8AC273A}" destId="{2C4EB86E-AE82-46A2-8D02-BAA7597BFAF2}" srcOrd="1" destOrd="0" presId="urn:microsoft.com/office/officeart/2005/8/layout/hierarchy1"/>
    <dgm:cxn modelId="{C0D5C0BE-EB6E-4186-8874-B5996F3421EF}" type="presParOf" srcId="{2C4EB86E-AE82-46A2-8D02-BAA7597BFAF2}" destId="{5642E46A-45F8-4102-9782-B487DB7741F4}" srcOrd="0" destOrd="0" presId="urn:microsoft.com/office/officeart/2005/8/layout/hierarchy1"/>
    <dgm:cxn modelId="{3FDA3F09-A59F-4FA2-88D5-DF7F68E278E7}" type="presParOf" srcId="{5642E46A-45F8-4102-9782-B487DB7741F4}" destId="{3635B322-1B55-4D43-AF65-CADD6C6A50A4}" srcOrd="0" destOrd="0" presId="urn:microsoft.com/office/officeart/2005/8/layout/hierarchy1"/>
    <dgm:cxn modelId="{68581435-4C3A-4AD9-A1D4-12BE46CD7C0D}" type="presParOf" srcId="{5642E46A-45F8-4102-9782-B487DB7741F4}" destId="{58459323-DA97-43BF-9EC1-E3A920402752}" srcOrd="1" destOrd="0" presId="urn:microsoft.com/office/officeart/2005/8/layout/hierarchy1"/>
    <dgm:cxn modelId="{079D1C47-D633-4C81-883D-A91E37D98E0F}" type="presParOf" srcId="{2C4EB86E-AE82-46A2-8D02-BAA7597BFAF2}" destId="{73C678BC-B9B0-4029-A940-0FF0809183CB}" srcOrd="1" destOrd="0" presId="urn:microsoft.com/office/officeart/2005/8/layout/hierarchy1"/>
    <dgm:cxn modelId="{F084050C-BAC7-40D7-889F-1916924C7533}" type="presParOf" srcId="{F0845906-FC26-4D83-B719-7686E8AC273A}" destId="{3F2176D3-7A05-45B4-B557-A6DB4F28EE5A}" srcOrd="2" destOrd="0" presId="urn:microsoft.com/office/officeart/2005/8/layout/hierarchy1"/>
    <dgm:cxn modelId="{04D36DA5-6D31-4BF7-BBE6-F92AB981D6E0}" type="presParOf" srcId="{F0845906-FC26-4D83-B719-7686E8AC273A}" destId="{2E89610E-A861-4435-A232-77D6542B20D6}" srcOrd="3" destOrd="0" presId="urn:microsoft.com/office/officeart/2005/8/layout/hierarchy1"/>
    <dgm:cxn modelId="{44AC3948-58F6-44F3-9C1D-CB2C92BCCD7D}" type="presParOf" srcId="{2E89610E-A861-4435-A232-77D6542B20D6}" destId="{7B30F9DD-4B81-40DA-9787-CF7F7A1CB4FD}" srcOrd="0" destOrd="0" presId="urn:microsoft.com/office/officeart/2005/8/layout/hierarchy1"/>
    <dgm:cxn modelId="{98730590-97DE-47BE-B66B-3F829697458B}" type="presParOf" srcId="{7B30F9DD-4B81-40DA-9787-CF7F7A1CB4FD}" destId="{53078E70-BAE8-4B9F-A3BF-0DDF271DF489}" srcOrd="0" destOrd="0" presId="urn:microsoft.com/office/officeart/2005/8/layout/hierarchy1"/>
    <dgm:cxn modelId="{12943CCB-BA97-4DF4-8E42-E4612D748E00}" type="presParOf" srcId="{7B30F9DD-4B81-40DA-9787-CF7F7A1CB4FD}" destId="{CF334CB3-213D-40B1-B45E-2662F7ED54DA}" srcOrd="1" destOrd="0" presId="urn:microsoft.com/office/officeart/2005/8/layout/hierarchy1"/>
    <dgm:cxn modelId="{61FCB8A6-86B7-42C9-A983-893F7DF60ADB}" type="presParOf" srcId="{2E89610E-A861-4435-A232-77D6542B20D6}" destId="{268F4045-93F5-49CF-93FA-300C0EB2D09B}"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2176D3-7A05-45B4-B557-A6DB4F28EE5A}">
      <dsp:nvSpPr>
        <dsp:cNvPr id="0" name=""/>
        <dsp:cNvSpPr/>
      </dsp:nvSpPr>
      <dsp:spPr>
        <a:xfrm>
          <a:off x="2809153" y="1590505"/>
          <a:ext cx="622616" cy="296308"/>
        </a:xfrm>
        <a:custGeom>
          <a:avLst/>
          <a:gdLst/>
          <a:ahLst/>
          <a:cxnLst/>
          <a:rect l="0" t="0" r="0" b="0"/>
          <a:pathLst>
            <a:path>
              <a:moveTo>
                <a:pt x="0" y="0"/>
              </a:moveTo>
              <a:lnTo>
                <a:pt x="0" y="201925"/>
              </a:lnTo>
              <a:lnTo>
                <a:pt x="622616" y="201925"/>
              </a:lnTo>
              <a:lnTo>
                <a:pt x="622616" y="2963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D552F3-8F31-4D85-AFD4-B470605997FE}">
      <dsp:nvSpPr>
        <dsp:cNvPr id="0" name=""/>
        <dsp:cNvSpPr/>
      </dsp:nvSpPr>
      <dsp:spPr>
        <a:xfrm>
          <a:off x="2186537" y="1590505"/>
          <a:ext cx="622616" cy="296308"/>
        </a:xfrm>
        <a:custGeom>
          <a:avLst/>
          <a:gdLst/>
          <a:ahLst/>
          <a:cxnLst/>
          <a:rect l="0" t="0" r="0" b="0"/>
          <a:pathLst>
            <a:path>
              <a:moveTo>
                <a:pt x="622616" y="0"/>
              </a:moveTo>
              <a:lnTo>
                <a:pt x="622616" y="201925"/>
              </a:lnTo>
              <a:lnTo>
                <a:pt x="0" y="201925"/>
              </a:lnTo>
              <a:lnTo>
                <a:pt x="0" y="296308"/>
              </a:lnTo>
            </a:path>
          </a:pathLst>
        </a:custGeom>
        <a:noFill/>
        <a:ln w="12700" cap="flat" cmpd="sng" algn="ctr">
          <a:solidFill>
            <a:srgbClr val="008577"/>
          </a:solidFill>
          <a:prstDash val="solid"/>
          <a:miter lim="800000"/>
        </a:ln>
        <a:effectLst/>
      </dsp:spPr>
      <dsp:style>
        <a:lnRef idx="2">
          <a:scrgbClr r="0" g="0" b="0"/>
        </a:lnRef>
        <a:fillRef idx="0">
          <a:scrgbClr r="0" g="0" b="0"/>
        </a:fillRef>
        <a:effectRef idx="0">
          <a:scrgbClr r="0" g="0" b="0"/>
        </a:effectRef>
        <a:fontRef idx="minor"/>
      </dsp:style>
    </dsp:sp>
    <dsp:sp modelId="{E319A365-9A07-488C-96FD-FB780D5F74EA}">
      <dsp:nvSpPr>
        <dsp:cNvPr id="0" name=""/>
        <dsp:cNvSpPr/>
      </dsp:nvSpPr>
      <dsp:spPr>
        <a:xfrm>
          <a:off x="2763433" y="647242"/>
          <a:ext cx="91440" cy="296308"/>
        </a:xfrm>
        <a:custGeom>
          <a:avLst/>
          <a:gdLst/>
          <a:ahLst/>
          <a:cxnLst/>
          <a:rect l="0" t="0" r="0" b="0"/>
          <a:pathLst>
            <a:path>
              <a:moveTo>
                <a:pt x="45720" y="0"/>
              </a:moveTo>
              <a:lnTo>
                <a:pt x="45720" y="296308"/>
              </a:lnTo>
            </a:path>
          </a:pathLst>
        </a:custGeom>
        <a:noFill/>
        <a:ln w="12700" cap="flat" cmpd="sng" algn="ctr">
          <a:solidFill>
            <a:srgbClr val="008577"/>
          </a:solidFill>
          <a:prstDash val="solid"/>
          <a:miter lim="800000"/>
        </a:ln>
        <a:effectLst/>
      </dsp:spPr>
      <dsp:style>
        <a:lnRef idx="2">
          <a:scrgbClr r="0" g="0" b="0"/>
        </a:lnRef>
        <a:fillRef idx="0">
          <a:scrgbClr r="0" g="0" b="0"/>
        </a:fillRef>
        <a:effectRef idx="0">
          <a:scrgbClr r="0" g="0" b="0"/>
        </a:effectRef>
        <a:fontRef idx="minor"/>
      </dsp:style>
    </dsp:sp>
    <dsp:sp modelId="{ECF9C934-5E37-41F1-99DA-A9FE6E2C8BE5}">
      <dsp:nvSpPr>
        <dsp:cNvPr id="0" name=""/>
        <dsp:cNvSpPr/>
      </dsp:nvSpPr>
      <dsp:spPr>
        <a:xfrm>
          <a:off x="2299740" y="287"/>
          <a:ext cx="1018826" cy="646954"/>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A46132C-C813-4A6C-B7D9-8B465EFBEC22}">
      <dsp:nvSpPr>
        <dsp:cNvPr id="0" name=""/>
        <dsp:cNvSpPr/>
      </dsp:nvSpPr>
      <dsp:spPr>
        <a:xfrm>
          <a:off x="2412943" y="107830"/>
          <a:ext cx="1018826" cy="646954"/>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Director of Resources </a:t>
          </a:r>
        </a:p>
      </dsp:txBody>
      <dsp:txXfrm>
        <a:off x="2431892" y="126779"/>
        <a:ext cx="980928" cy="609056"/>
      </dsp:txXfrm>
    </dsp:sp>
    <dsp:sp modelId="{E3E2160A-C70D-438E-BE4B-63644B985DC0}">
      <dsp:nvSpPr>
        <dsp:cNvPr id="0" name=""/>
        <dsp:cNvSpPr/>
      </dsp:nvSpPr>
      <dsp:spPr>
        <a:xfrm>
          <a:off x="2299740" y="943551"/>
          <a:ext cx="1018826" cy="646954"/>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91837F-EF1F-49D1-B21C-206A5F8C0EFD}">
      <dsp:nvSpPr>
        <dsp:cNvPr id="0" name=""/>
        <dsp:cNvSpPr/>
      </dsp:nvSpPr>
      <dsp:spPr>
        <a:xfrm>
          <a:off x="2412943" y="1051094"/>
          <a:ext cx="1018826" cy="646954"/>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Head of Assurance </a:t>
          </a:r>
        </a:p>
      </dsp:txBody>
      <dsp:txXfrm>
        <a:off x="2431892" y="1070043"/>
        <a:ext cx="980928" cy="609056"/>
      </dsp:txXfrm>
    </dsp:sp>
    <dsp:sp modelId="{3635B322-1B55-4D43-AF65-CADD6C6A50A4}">
      <dsp:nvSpPr>
        <dsp:cNvPr id="0" name=""/>
        <dsp:cNvSpPr/>
      </dsp:nvSpPr>
      <dsp:spPr>
        <a:xfrm>
          <a:off x="1677124" y="1886814"/>
          <a:ext cx="1018826" cy="646954"/>
        </a:xfrm>
        <a:prstGeom prst="roundRect">
          <a:avLst>
            <a:gd name="adj" fmla="val 10000"/>
          </a:avLst>
        </a:prstGeom>
        <a:solidFill>
          <a:srgbClr val="008577"/>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459323-DA97-43BF-9EC1-E3A920402752}">
      <dsp:nvSpPr>
        <dsp:cNvPr id="0" name=""/>
        <dsp:cNvSpPr/>
      </dsp:nvSpPr>
      <dsp:spPr>
        <a:xfrm>
          <a:off x="1790327" y="1994357"/>
          <a:ext cx="1018826" cy="646954"/>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Assurance and Risk Manager </a:t>
          </a:r>
        </a:p>
      </dsp:txBody>
      <dsp:txXfrm>
        <a:off x="1809276" y="2013306"/>
        <a:ext cx="980928" cy="609056"/>
      </dsp:txXfrm>
    </dsp:sp>
    <dsp:sp modelId="{53078E70-BAE8-4B9F-A3BF-0DDF271DF489}">
      <dsp:nvSpPr>
        <dsp:cNvPr id="0" name=""/>
        <dsp:cNvSpPr/>
      </dsp:nvSpPr>
      <dsp:spPr>
        <a:xfrm>
          <a:off x="2922356" y="1886814"/>
          <a:ext cx="1018826" cy="6469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334CB3-213D-40B1-B45E-2662F7ED54DA}">
      <dsp:nvSpPr>
        <dsp:cNvPr id="0" name=""/>
        <dsp:cNvSpPr/>
      </dsp:nvSpPr>
      <dsp:spPr>
        <a:xfrm>
          <a:off x="3035559" y="1994357"/>
          <a:ext cx="1018826" cy="64695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Performance Manager </a:t>
          </a:r>
        </a:p>
      </dsp:txBody>
      <dsp:txXfrm>
        <a:off x="3054508" y="2013306"/>
        <a:ext cx="980928" cy="60905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A72430712A4A2B84F487DA9B7F50CC"/>
        <w:category>
          <w:name w:val="General"/>
          <w:gallery w:val="placeholder"/>
        </w:category>
        <w:types>
          <w:type w:val="bbPlcHdr"/>
        </w:types>
        <w:behaviors>
          <w:behavior w:val="content"/>
        </w:behaviors>
        <w:guid w:val="{1B08AAD8-A2C8-4B95-AF16-CA2FECC9FD97}"/>
      </w:docPartPr>
      <w:docPartBody>
        <w:p w:rsidR="0000717D" w:rsidRDefault="00744A8A" w:rsidP="00744A8A">
          <w:pPr>
            <w:pStyle w:val="BCA72430712A4A2B84F487DA9B7F50CC"/>
          </w:pPr>
          <w:r>
            <w:rPr>
              <w:rFonts w:ascii="Arial" w:eastAsia="Times New Roman" w:hAnsi="Arial" w:cs="Times New Roman"/>
            </w:rPr>
            <w:t>Choose staff managed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lus Jakarta Sans">
    <w:altName w:val="Cambria"/>
    <w:charset w:val="00"/>
    <w:family w:val="auto"/>
    <w:pitch w:val="variable"/>
    <w:sig w:usb0="A10000FF" w:usb1="40006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8A"/>
    <w:rsid w:val="0000717D"/>
    <w:rsid w:val="00030B08"/>
    <w:rsid w:val="001A3159"/>
    <w:rsid w:val="001B7E34"/>
    <w:rsid w:val="00265D3F"/>
    <w:rsid w:val="0043004F"/>
    <w:rsid w:val="0058650D"/>
    <w:rsid w:val="005A00D6"/>
    <w:rsid w:val="006F4EF2"/>
    <w:rsid w:val="00744A8A"/>
    <w:rsid w:val="00884223"/>
    <w:rsid w:val="008E7403"/>
    <w:rsid w:val="009027E7"/>
    <w:rsid w:val="009B275B"/>
    <w:rsid w:val="009F08C2"/>
    <w:rsid w:val="00A31812"/>
    <w:rsid w:val="00A67D8E"/>
    <w:rsid w:val="00A71E0E"/>
    <w:rsid w:val="00A72CCD"/>
    <w:rsid w:val="00B27BE6"/>
    <w:rsid w:val="00BB0A9A"/>
    <w:rsid w:val="00C27462"/>
    <w:rsid w:val="00CE2D7F"/>
    <w:rsid w:val="00CF428E"/>
    <w:rsid w:val="00D136D6"/>
    <w:rsid w:val="00D412CD"/>
    <w:rsid w:val="00D92185"/>
    <w:rsid w:val="00EB1F22"/>
    <w:rsid w:val="00F354D8"/>
    <w:rsid w:val="00F61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72430712A4A2B84F487DA9B7F50CC">
    <w:name w:val="BCA72430712A4A2B84F487DA9B7F50CC"/>
    <w:rsid w:val="00744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7a0fb8-4e7a-414f-a8df-729892c94a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C32AD69E36F4586B1BF94172CEA46" ma:contentTypeVersion="10" ma:contentTypeDescription="Create a new document." ma:contentTypeScope="" ma:versionID="6942d2c52b6e6be121c5a443e2e42228">
  <xsd:schema xmlns:xsd="http://www.w3.org/2001/XMLSchema" xmlns:xs="http://www.w3.org/2001/XMLSchema" xmlns:p="http://schemas.microsoft.com/office/2006/metadata/properties" xmlns:ns2="6d7a0fb8-4e7a-414f-a8df-729892c94a51" targetNamespace="http://schemas.microsoft.com/office/2006/metadata/properties" ma:root="true" ma:fieldsID="db3b49a001e6f98dab7521d358824c60" ns2:_="">
    <xsd:import namespace="6d7a0fb8-4e7a-414f-a8df-729892c94a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a0fb8-4e7a-414f-a8df-729892c94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a7afa9-ec24-41b1-98b7-e0102151998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7C8B3-0198-4075-9CB3-3DC2E23B300D}">
  <ds:schemaRefs>
    <ds:schemaRef ds:uri="http://schemas.microsoft.com/sharepoint/v3/contenttype/forms"/>
  </ds:schemaRefs>
</ds:datastoreItem>
</file>

<file path=customXml/itemProps2.xml><?xml version="1.0" encoding="utf-8"?>
<ds:datastoreItem xmlns:ds="http://schemas.openxmlformats.org/officeDocument/2006/customXml" ds:itemID="{72F448D2-9723-4C24-8563-6FD572767254}">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dcmitype/"/>
    <ds:schemaRef ds:uri="http://schemas.microsoft.com/office/2006/documentManagement/types"/>
    <ds:schemaRef ds:uri="fdde8510-57ad-4517-8897-40d31b5248c7"/>
    <ds:schemaRef ds:uri="http://www.w3.org/XML/1998/namespace"/>
    <ds:schemaRef ds:uri="6d7a0fb8-4e7a-414f-a8df-729892c94a51"/>
  </ds:schemaRefs>
</ds:datastoreItem>
</file>

<file path=customXml/itemProps3.xml><?xml version="1.0" encoding="utf-8"?>
<ds:datastoreItem xmlns:ds="http://schemas.openxmlformats.org/officeDocument/2006/customXml" ds:itemID="{2F6DFF91-AFEF-43FD-A078-98EDA5164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a0fb8-4e7a-414f-a8df-729892c94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3247</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21718</CharactersWithSpaces>
  <SharedDoc>false</SharedDoc>
  <HLinks>
    <vt:vector size="6" baseType="variant">
      <vt:variant>
        <vt:i4>7864435</vt:i4>
      </vt:variant>
      <vt:variant>
        <vt:i4>0</vt:i4>
      </vt:variant>
      <vt:variant>
        <vt:i4>0</vt:i4>
      </vt:variant>
      <vt:variant>
        <vt:i4>5</vt:i4>
      </vt:variant>
      <vt:variant>
        <vt:lpwstr>https://yorknorthyorks-ca.gov.uk/wp-content/uploads/2025/07/YNYCA-Value-and-Behaviours.pdf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Brandon</dc:creator>
  <cp:keywords/>
  <dc:description/>
  <cp:lastModifiedBy>Katherine Brioude</cp:lastModifiedBy>
  <cp:revision>2</cp:revision>
  <dcterms:created xsi:type="dcterms:W3CDTF">2026-01-29T07:50:00Z</dcterms:created>
  <dcterms:modified xsi:type="dcterms:W3CDTF">2026-01-29T07:50:00Z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2024-03-01T09:54:43Z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c1ae8065-d769-4047-b134-8a22b30c1c5f</vt:lpwstr>
  </property>
  <property fmtid="{D5CDD505-2E9C-101B-9397-08002B2CF9AE}" pid="7" name="MSIP_Label_defa4170-0d19-0005-0004-bc88714345d2_ActionId">
    <vt:lpwstr>375d967f-d97b-47bc-9847-d5978cf48cfe</vt:lpwstr>
  </property>
  <property fmtid="{D5CDD505-2E9C-101B-9397-08002B2CF9AE}" pid="8" name="MSIP_Label_defa4170-0d19-0005-0004-bc88714345d2_ContentBits">
    <vt:lpwstr>0</vt:lpwstr>
  </property>
  <property fmtid="{D5CDD505-2E9C-101B-9397-08002B2CF9AE}" pid="9" name="MSIP_Label_3ecdfc32-7be5-4b17-9f97-00453388bdd7_Enabled">
    <vt:lpwstr>true</vt:lpwstr>
  </property>
  <property fmtid="{D5CDD505-2E9C-101B-9397-08002B2CF9AE}" pid="10" name="MSIP_Label_3ecdfc32-7be5-4b17-9f97-00453388bdd7_SetDate">
    <vt:lpwstr>2024-03-01T12:29:36Z</vt:lpwstr>
  </property>
  <property fmtid="{D5CDD505-2E9C-101B-9397-08002B2CF9AE}" pid="11" name="MSIP_Label_3ecdfc32-7be5-4b17-9f97-00453388bdd7_Method">
    <vt:lpwstr>Standard</vt:lpwstr>
  </property>
  <property fmtid="{D5CDD505-2E9C-101B-9397-08002B2CF9AE}" pid="12" name="MSIP_Label_3ecdfc32-7be5-4b17-9f97-00453388bdd7_Name">
    <vt:lpwstr>OFFICIAL</vt:lpwstr>
  </property>
  <property fmtid="{D5CDD505-2E9C-101B-9397-08002B2CF9AE}" pid="13" name="MSIP_Label_3ecdfc32-7be5-4b17-9f97-00453388bdd7_SiteId">
    <vt:lpwstr>ad3d9c73-9830-44a1-b487-e1055441c70e</vt:lpwstr>
  </property>
  <property fmtid="{D5CDD505-2E9C-101B-9397-08002B2CF9AE}" pid="14" name="MSIP_Label_3ecdfc32-7be5-4b17-9f97-00453388bdd7_ActionId">
    <vt:lpwstr>e366efc6-da8c-4432-a824-02b5ed80537b</vt:lpwstr>
  </property>
  <property fmtid="{D5CDD505-2E9C-101B-9397-08002B2CF9AE}" pid="15" name="MSIP_Label_3ecdfc32-7be5-4b17-9f97-00453388bdd7_ContentBits">
    <vt:lpwstr>2</vt:lpwstr>
  </property>
  <property fmtid="{D5CDD505-2E9C-101B-9397-08002B2CF9AE}" pid="16" name="ContentTypeId">
    <vt:lpwstr>0x01010033AC32AD69E36F4586B1BF94172CEA46</vt:lpwstr>
  </property>
  <property fmtid="{D5CDD505-2E9C-101B-9397-08002B2CF9AE}" pid="17" name="MediaServiceImageTags">
    <vt:lpwstr/>
  </property>
</Properties>
</file>