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B95A" w14:textId="23401FF3" w:rsidR="007B4E88" w:rsidRPr="00F3112B" w:rsidRDefault="007B4E88" w:rsidP="007B4E88">
      <w:pPr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Job Title: Head of Pensions</w:t>
      </w:r>
    </w:p>
    <w:p w14:paraId="28BD7595" w14:textId="64B1CB27" w:rsidR="007B4E88" w:rsidRPr="00F3112B" w:rsidRDefault="007B4E88" w:rsidP="007B4E88">
      <w:pPr>
        <w:rPr>
          <w:rFonts w:ascii="Arial" w:hAnsi="Arial" w:cs="Arial"/>
        </w:rPr>
      </w:pPr>
      <w:r w:rsidRPr="00F3112B">
        <w:rPr>
          <w:rFonts w:ascii="Arial" w:hAnsi="Arial" w:cs="Arial"/>
          <w:b/>
          <w:bCs/>
        </w:rPr>
        <w:t>Location:</w:t>
      </w:r>
      <w:r w:rsidRPr="00F3112B">
        <w:rPr>
          <w:rFonts w:ascii="Arial" w:hAnsi="Arial" w:cs="Arial"/>
        </w:rPr>
        <w:t xml:space="preserve"> Hertfordshire County Council</w:t>
      </w:r>
      <w:r w:rsidRPr="00F3112B">
        <w:rPr>
          <w:rFonts w:ascii="Arial" w:hAnsi="Arial" w:cs="Arial"/>
        </w:rPr>
        <w:br/>
      </w:r>
      <w:r w:rsidRPr="00F3112B">
        <w:rPr>
          <w:rFonts w:ascii="Arial" w:hAnsi="Arial" w:cs="Arial"/>
          <w:b/>
          <w:bCs/>
        </w:rPr>
        <w:t>Reports to:</w:t>
      </w:r>
      <w:r w:rsidRPr="00F3112B">
        <w:rPr>
          <w:rFonts w:ascii="Arial" w:hAnsi="Arial" w:cs="Arial"/>
        </w:rPr>
        <w:t xml:space="preserve"> Director of Finance</w:t>
      </w:r>
      <w:r w:rsidRPr="00F3112B">
        <w:rPr>
          <w:rFonts w:ascii="Arial" w:hAnsi="Arial" w:cs="Arial"/>
        </w:rPr>
        <w:br/>
      </w:r>
      <w:r w:rsidRPr="00F3112B">
        <w:rPr>
          <w:rFonts w:ascii="Arial" w:hAnsi="Arial" w:cs="Arial"/>
          <w:b/>
          <w:bCs/>
        </w:rPr>
        <w:t>Salary:</w:t>
      </w:r>
      <w:r w:rsidRPr="00F3112B">
        <w:rPr>
          <w:rFonts w:ascii="Arial" w:hAnsi="Arial" w:cs="Arial"/>
        </w:rPr>
        <w:t xml:space="preserve"> </w:t>
      </w:r>
      <w:r w:rsidR="00BA49BD">
        <w:rPr>
          <w:rFonts w:ascii="Arial" w:hAnsi="Arial" w:cs="Arial"/>
        </w:rPr>
        <w:t>£84,421 to £93,565</w:t>
      </w:r>
      <w:r w:rsidRPr="00F3112B">
        <w:rPr>
          <w:rFonts w:ascii="Arial" w:hAnsi="Arial" w:cs="Arial"/>
        </w:rPr>
        <w:br/>
      </w:r>
      <w:r w:rsidRPr="00F3112B">
        <w:rPr>
          <w:rFonts w:ascii="Arial" w:hAnsi="Arial" w:cs="Arial"/>
          <w:b/>
          <w:bCs/>
        </w:rPr>
        <w:t>Contract Type:</w:t>
      </w:r>
      <w:r w:rsidRPr="00F3112B">
        <w:rPr>
          <w:rFonts w:ascii="Arial" w:hAnsi="Arial" w:cs="Arial"/>
        </w:rPr>
        <w:t xml:space="preserve"> Permanent / Full-time</w:t>
      </w:r>
    </w:p>
    <w:p w14:paraId="07549E56" w14:textId="77777777" w:rsidR="007B4E88" w:rsidRPr="00F3112B" w:rsidRDefault="0038740C" w:rsidP="007B4E88">
      <w:pPr>
        <w:rPr>
          <w:rFonts w:ascii="Arial" w:hAnsi="Arial" w:cs="Arial"/>
        </w:rPr>
      </w:pPr>
      <w:r>
        <w:rPr>
          <w:rFonts w:ascii="Arial" w:hAnsi="Arial" w:cs="Arial"/>
        </w:rPr>
        <w:pict w14:anchorId="58BA1AF7">
          <v:rect id="_x0000_i1025" style="width:468pt;height:.5pt" o:hralign="center" o:hrstd="t" o:hr="t" fillcolor="#a0a0a0" stroked="f"/>
        </w:pict>
      </w:r>
    </w:p>
    <w:p w14:paraId="544B0E7A" w14:textId="77777777" w:rsidR="007B4E88" w:rsidRPr="00F3112B" w:rsidRDefault="007B4E88" w:rsidP="007B4E88">
      <w:pPr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Purpose of the Role:</w:t>
      </w:r>
    </w:p>
    <w:p w14:paraId="5E7731DD" w14:textId="77777777" w:rsidR="007B4E88" w:rsidRPr="00F3112B" w:rsidRDefault="007B4E88" w:rsidP="007B4E88">
      <w:pPr>
        <w:rPr>
          <w:rFonts w:ascii="Arial" w:hAnsi="Arial" w:cs="Arial"/>
        </w:rPr>
      </w:pPr>
      <w:r w:rsidRPr="00F3112B">
        <w:rPr>
          <w:rFonts w:ascii="Arial" w:hAnsi="Arial" w:cs="Arial"/>
        </w:rPr>
        <w:t>To lead the strategic, operational, and governance functions of the Hertfordshire Pension Fund, covering both the LGPS and Firefighters’ Pension Schemes. The role ensures compliance with statutory obligations, delivers high-quality pension services, and supports the Pension Committee and Local Pension Boards in fulfilling their oversight responsibilities.</w:t>
      </w:r>
    </w:p>
    <w:p w14:paraId="4F9C7EFE" w14:textId="7F100E86" w:rsidR="00716FD7" w:rsidRPr="00F3112B" w:rsidRDefault="00716FD7" w:rsidP="00716FD7">
      <w:pPr>
        <w:rPr>
          <w:rFonts w:ascii="Arial" w:hAnsi="Arial" w:cs="Arial"/>
        </w:rPr>
      </w:pPr>
      <w:r w:rsidRPr="00F3112B">
        <w:rPr>
          <w:rFonts w:ascii="Arial" w:hAnsi="Arial" w:cs="Arial"/>
        </w:rPr>
        <w:t>It plays a critical role in:</w:t>
      </w:r>
    </w:p>
    <w:p w14:paraId="41C0B116" w14:textId="77777777" w:rsidR="00716FD7" w:rsidRPr="00F3112B" w:rsidRDefault="00716FD7" w:rsidP="00716FD7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F3112B">
        <w:rPr>
          <w:rFonts w:ascii="Arial" w:hAnsi="Arial" w:cs="Arial"/>
          <w:b/>
          <w:bCs/>
        </w:rPr>
        <w:t>Governance and Oversight</w:t>
      </w:r>
      <w:r w:rsidRPr="00F3112B">
        <w:rPr>
          <w:rFonts w:ascii="Arial" w:hAnsi="Arial" w:cs="Arial"/>
        </w:rPr>
        <w:t>: Supporting the Pension Committee and Local Pension Board, ensuring decisions are well-informed and aligned with statutory responsibilities.</w:t>
      </w:r>
    </w:p>
    <w:p w14:paraId="18567887" w14:textId="3EDC930D" w:rsidR="00716FD7" w:rsidRPr="00F3112B" w:rsidRDefault="00716FD7" w:rsidP="00716FD7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F3112B">
        <w:rPr>
          <w:rFonts w:ascii="Arial" w:hAnsi="Arial" w:cs="Arial"/>
          <w:b/>
          <w:bCs/>
        </w:rPr>
        <w:t>Funding and Investment Strategy</w:t>
      </w:r>
      <w:r w:rsidRPr="00F3112B">
        <w:rPr>
          <w:rFonts w:ascii="Arial" w:hAnsi="Arial" w:cs="Arial"/>
        </w:rPr>
        <w:t>: Collaborating with actuaries</w:t>
      </w:r>
      <w:r w:rsidR="0030190E" w:rsidRPr="00F3112B">
        <w:rPr>
          <w:rFonts w:ascii="Arial" w:hAnsi="Arial" w:cs="Arial"/>
        </w:rPr>
        <w:t>,</w:t>
      </w:r>
      <w:r w:rsidRPr="00F3112B">
        <w:rPr>
          <w:rFonts w:ascii="Arial" w:hAnsi="Arial" w:cs="Arial"/>
        </w:rPr>
        <w:t xml:space="preserve"> investment advisors</w:t>
      </w:r>
      <w:r w:rsidR="0030190E" w:rsidRPr="00F3112B">
        <w:rPr>
          <w:rFonts w:ascii="Arial" w:hAnsi="Arial" w:cs="Arial"/>
        </w:rPr>
        <w:t xml:space="preserve"> and</w:t>
      </w:r>
      <w:r w:rsidR="00AF5FA0">
        <w:rPr>
          <w:rFonts w:ascii="Arial" w:hAnsi="Arial" w:cs="Arial"/>
        </w:rPr>
        <w:t xml:space="preserve"> the</w:t>
      </w:r>
      <w:r w:rsidR="0030190E" w:rsidRPr="00F3112B">
        <w:rPr>
          <w:rFonts w:ascii="Arial" w:hAnsi="Arial" w:cs="Arial"/>
        </w:rPr>
        <w:t xml:space="preserve"> investment pool</w:t>
      </w:r>
      <w:r w:rsidRPr="00F3112B">
        <w:rPr>
          <w:rFonts w:ascii="Arial" w:hAnsi="Arial" w:cs="Arial"/>
        </w:rPr>
        <w:t xml:space="preserve"> to maintain a robust funding position and deliver long-term investment returns.</w:t>
      </w:r>
    </w:p>
    <w:p w14:paraId="485A9D39" w14:textId="2F0229AC" w:rsidR="00716FD7" w:rsidRPr="00F3112B" w:rsidRDefault="00716FD7" w:rsidP="00716FD7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F3112B">
        <w:rPr>
          <w:rFonts w:ascii="Arial" w:hAnsi="Arial" w:cs="Arial"/>
          <w:b/>
          <w:bCs/>
        </w:rPr>
        <w:t>Risk and Assurance</w:t>
      </w:r>
      <w:r w:rsidRPr="00F3112B">
        <w:rPr>
          <w:rFonts w:ascii="Arial" w:hAnsi="Arial" w:cs="Arial"/>
        </w:rPr>
        <w:t>: Managing financial, operational and reputational risks through strong internal controls and transparent reporting.</w:t>
      </w:r>
    </w:p>
    <w:p w14:paraId="574E66CD" w14:textId="01057E0F" w:rsidR="00716FD7" w:rsidRPr="00F3112B" w:rsidRDefault="00716FD7" w:rsidP="00716FD7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F3112B">
        <w:rPr>
          <w:rFonts w:ascii="Arial" w:hAnsi="Arial" w:cs="Arial"/>
          <w:b/>
          <w:bCs/>
        </w:rPr>
        <w:t>Stakeholder Engagement</w:t>
      </w:r>
      <w:r w:rsidRPr="00F3112B">
        <w:rPr>
          <w:rFonts w:ascii="Arial" w:hAnsi="Arial" w:cs="Arial"/>
        </w:rPr>
        <w:t>: Building trusted relationships with scheme employers, members and external partners to ensure effective communication and service delivery.</w:t>
      </w:r>
    </w:p>
    <w:p w14:paraId="75CAB12B" w14:textId="77777777" w:rsidR="00716FD7" w:rsidRPr="00F3112B" w:rsidRDefault="00716FD7" w:rsidP="00716FD7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F3112B">
        <w:rPr>
          <w:rFonts w:ascii="Arial" w:hAnsi="Arial" w:cs="Arial"/>
          <w:b/>
          <w:bCs/>
        </w:rPr>
        <w:t>Policy and Compliance</w:t>
      </w:r>
      <w:r w:rsidRPr="00F3112B">
        <w:rPr>
          <w:rFonts w:ascii="Arial" w:hAnsi="Arial" w:cs="Arial"/>
        </w:rPr>
        <w:t>: Interpreting and implementing complex pension legislation and guidance, ensuring the Fund remains compliant and forward-looking.</w:t>
      </w:r>
    </w:p>
    <w:p w14:paraId="1DC0D96F" w14:textId="77777777" w:rsidR="007B4E88" w:rsidRPr="00F3112B" w:rsidRDefault="0038740C" w:rsidP="007B4E88">
      <w:pPr>
        <w:rPr>
          <w:rFonts w:ascii="Arial" w:hAnsi="Arial" w:cs="Arial"/>
        </w:rPr>
      </w:pPr>
      <w:r>
        <w:rPr>
          <w:rFonts w:ascii="Arial" w:hAnsi="Arial" w:cs="Arial"/>
        </w:rPr>
        <w:pict w14:anchorId="76A95A0E">
          <v:rect id="_x0000_i1026" style="width:468pt;height:.5pt" o:hralign="center" o:hrstd="t" o:hr="t" fillcolor="#a0a0a0" stroked="f"/>
        </w:pict>
      </w:r>
    </w:p>
    <w:p w14:paraId="0A622B41" w14:textId="77777777" w:rsidR="007B4E88" w:rsidRPr="00F3112B" w:rsidRDefault="007B4E88" w:rsidP="007B4E88">
      <w:pPr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Key Responsibilities:</w:t>
      </w:r>
    </w:p>
    <w:p w14:paraId="73220B5E" w14:textId="77777777" w:rsidR="007B4E88" w:rsidRPr="00F3112B" w:rsidRDefault="007B4E88" w:rsidP="007B4E88">
      <w:pPr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Strategic Leadership</w:t>
      </w:r>
    </w:p>
    <w:p w14:paraId="7C1AFC2C" w14:textId="21820BFB" w:rsidR="007B4E88" w:rsidRPr="00F3112B" w:rsidRDefault="007B4E88" w:rsidP="00241C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3112B">
        <w:rPr>
          <w:rFonts w:ascii="Arial" w:hAnsi="Arial" w:cs="Arial"/>
        </w:rPr>
        <w:t>Develop and implement the long-term</w:t>
      </w:r>
      <w:r w:rsidR="00D57C26" w:rsidRPr="00F3112B">
        <w:rPr>
          <w:rFonts w:ascii="Arial" w:hAnsi="Arial" w:cs="Arial"/>
        </w:rPr>
        <w:t xml:space="preserve"> investment and funding</w:t>
      </w:r>
      <w:r w:rsidRPr="00F3112B">
        <w:rPr>
          <w:rFonts w:ascii="Arial" w:hAnsi="Arial" w:cs="Arial"/>
        </w:rPr>
        <w:t xml:space="preserve"> strateg</w:t>
      </w:r>
      <w:r w:rsidR="00D57C26" w:rsidRPr="00F3112B">
        <w:rPr>
          <w:rFonts w:ascii="Arial" w:hAnsi="Arial" w:cs="Arial"/>
        </w:rPr>
        <w:t>ies</w:t>
      </w:r>
      <w:r w:rsidRPr="00F3112B">
        <w:rPr>
          <w:rFonts w:ascii="Arial" w:hAnsi="Arial" w:cs="Arial"/>
        </w:rPr>
        <w:t xml:space="preserve"> for </w:t>
      </w:r>
      <w:r w:rsidR="00D57C26" w:rsidRPr="00F3112B">
        <w:rPr>
          <w:rFonts w:ascii="Arial" w:hAnsi="Arial" w:cs="Arial"/>
        </w:rPr>
        <w:t>the local government</w:t>
      </w:r>
      <w:r w:rsidRPr="00F3112B">
        <w:rPr>
          <w:rFonts w:ascii="Arial" w:hAnsi="Arial" w:cs="Arial"/>
        </w:rPr>
        <w:t xml:space="preserve"> pension scheme in line with national reforms, including asset pooling and governance changes</w:t>
      </w:r>
      <w:r w:rsidR="00DF442A" w:rsidRPr="00F3112B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</w:p>
    <w:p w14:paraId="234B7988" w14:textId="77777777" w:rsidR="00370C42" w:rsidRPr="00F3112B" w:rsidRDefault="00370C42" w:rsidP="00370C42">
      <w:pPr>
        <w:pStyle w:val="ListParagraph"/>
        <w:spacing w:after="0" w:line="240" w:lineRule="auto"/>
        <w:rPr>
          <w:rFonts w:ascii="Arial" w:hAnsi="Arial" w:cs="Arial"/>
        </w:rPr>
      </w:pPr>
    </w:p>
    <w:p w14:paraId="52F6A3A1" w14:textId="74C22F20" w:rsidR="007E0111" w:rsidRPr="00F3112B" w:rsidRDefault="006553A5" w:rsidP="007D26A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3112B">
        <w:rPr>
          <w:rFonts w:ascii="Arial" w:eastAsia="Times New Roman" w:hAnsi="Arial" w:cs="Arial"/>
          <w:kern w:val="0"/>
          <w:lang w:eastAsia="en-GB"/>
          <w14:ligatures w14:val="none"/>
        </w:rPr>
        <w:t>As the Fund’s le</w:t>
      </w:r>
      <w:r w:rsidR="007E0111" w:rsidRPr="00F3112B">
        <w:rPr>
          <w:rFonts w:ascii="Arial" w:eastAsia="Times New Roman" w:hAnsi="Arial" w:cs="Arial"/>
          <w:kern w:val="0"/>
          <w:lang w:eastAsia="en-GB"/>
          <w14:ligatures w14:val="none"/>
        </w:rPr>
        <w:t xml:space="preserve">ad </w:t>
      </w:r>
      <w:r w:rsidRPr="00F3112B">
        <w:rPr>
          <w:rFonts w:ascii="Arial" w:eastAsia="Times New Roman" w:hAnsi="Arial" w:cs="Arial"/>
          <w:kern w:val="0"/>
          <w:lang w:eastAsia="en-GB"/>
          <w14:ligatures w14:val="none"/>
        </w:rPr>
        <w:t>officer</w:t>
      </w:r>
      <w:r w:rsidR="00B02240" w:rsidRPr="00F3112B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Pr="00F3112B">
        <w:rPr>
          <w:rFonts w:ascii="Arial" w:eastAsia="Times New Roman" w:hAnsi="Arial" w:cs="Arial"/>
          <w:kern w:val="0"/>
          <w:lang w:eastAsia="en-GB"/>
          <w14:ligatures w14:val="none"/>
        </w:rPr>
        <w:t xml:space="preserve"> work with the Fund’s investment pool partner t</w:t>
      </w:r>
      <w:r w:rsidR="00B02240" w:rsidRPr="00F3112B">
        <w:rPr>
          <w:rFonts w:ascii="Arial" w:eastAsia="Times New Roman" w:hAnsi="Arial" w:cs="Arial"/>
          <w:kern w:val="0"/>
          <w:lang w:eastAsia="en-GB"/>
          <w14:ligatures w14:val="none"/>
        </w:rPr>
        <w:t xml:space="preserve">o transition assets to the pool, </w:t>
      </w:r>
      <w:r w:rsidR="00F9577A" w:rsidRPr="00F3112B">
        <w:rPr>
          <w:rFonts w:ascii="Arial" w:eastAsia="Times New Roman" w:hAnsi="Arial" w:cs="Arial"/>
          <w:kern w:val="0"/>
          <w:lang w:eastAsia="en-GB"/>
          <w14:ligatures w14:val="none"/>
        </w:rPr>
        <w:t>implement the Fund’s investment strategy, and work with fellow pool partners to support asset pooling and contribute to the development of pool strategies and policies.</w:t>
      </w:r>
    </w:p>
    <w:p w14:paraId="09B5A1C7" w14:textId="77777777" w:rsidR="007D26A2" w:rsidRPr="00F3112B" w:rsidRDefault="007D26A2" w:rsidP="007D26A2">
      <w:pPr>
        <w:pStyle w:val="ListParagraph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B989593" w14:textId="0E1DED0A" w:rsidR="007E0111" w:rsidRPr="00F3112B" w:rsidRDefault="007E0111" w:rsidP="007E011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3112B">
        <w:rPr>
          <w:rFonts w:ascii="Arial" w:eastAsia="Times New Roman" w:hAnsi="Arial" w:cs="Arial"/>
          <w:kern w:val="0"/>
          <w:lang w:eastAsia="en-GB"/>
          <w14:ligatures w14:val="none"/>
        </w:rPr>
        <w:t xml:space="preserve">As the </w:t>
      </w:r>
      <w:r w:rsidR="00545401">
        <w:rPr>
          <w:rFonts w:ascii="Arial" w:eastAsia="Times New Roman" w:hAnsi="Arial" w:cs="Arial"/>
          <w:kern w:val="0"/>
          <w:lang w:eastAsia="en-GB"/>
          <w14:ligatures w14:val="none"/>
        </w:rPr>
        <w:t>Fund’s lead</w:t>
      </w:r>
      <w:r w:rsidRPr="00F3112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545401">
        <w:rPr>
          <w:rFonts w:ascii="Arial" w:eastAsia="Times New Roman" w:hAnsi="Arial" w:cs="Arial"/>
          <w:kern w:val="0"/>
          <w:lang w:eastAsia="en-GB"/>
          <w14:ligatures w14:val="none"/>
        </w:rPr>
        <w:t>o</w:t>
      </w:r>
      <w:r w:rsidRPr="00F3112B">
        <w:rPr>
          <w:rFonts w:ascii="Arial" w:eastAsia="Times New Roman" w:hAnsi="Arial" w:cs="Arial"/>
          <w:kern w:val="0"/>
          <w:lang w:eastAsia="en-GB"/>
          <w14:ligatures w14:val="none"/>
        </w:rPr>
        <w:t xml:space="preserve">fficer advise elected members and senior officers on complex pension matters, ensuring transparency and informed decision-making. </w:t>
      </w:r>
    </w:p>
    <w:p w14:paraId="09E61832" w14:textId="77777777" w:rsidR="007D26A2" w:rsidRPr="00F3112B" w:rsidRDefault="007D26A2" w:rsidP="007D26A2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70767AD" w14:textId="2EF229CF" w:rsidR="00D057A4" w:rsidRPr="00F3112B" w:rsidRDefault="000D1AC2" w:rsidP="007E011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112B">
        <w:rPr>
          <w:rFonts w:ascii="Arial" w:eastAsia="Times New Roman" w:hAnsi="Arial" w:cs="Arial"/>
          <w:kern w:val="0"/>
          <w:lang w:eastAsia="en-GB"/>
          <w14:ligatures w14:val="none"/>
        </w:rPr>
        <w:t>O</w:t>
      </w:r>
      <w:r w:rsidR="007E0111" w:rsidRPr="00F3112B">
        <w:rPr>
          <w:rFonts w:ascii="Arial" w:eastAsia="Times New Roman" w:hAnsi="Arial" w:cs="Arial"/>
          <w:kern w:val="0"/>
          <w:lang w:eastAsia="en-GB"/>
          <w14:ligatures w14:val="none"/>
        </w:rPr>
        <w:t>versee the Firefighters’ Pension Scheme, ensuring compliance with legislation and effective risk and governance management.</w:t>
      </w:r>
      <w:r w:rsidR="00D057A4" w:rsidRPr="00F3112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268A8709" w14:textId="184AC87E" w:rsidR="00D057A4" w:rsidRPr="00F3112B" w:rsidRDefault="00D057A4" w:rsidP="007D26A2">
      <w:pPr>
        <w:pStyle w:val="ListParagraph"/>
        <w:rPr>
          <w:rFonts w:ascii="Arial" w:hAnsi="Arial" w:cs="Arial"/>
          <w:b/>
          <w:bCs/>
        </w:rPr>
      </w:pPr>
    </w:p>
    <w:p w14:paraId="56B0FBFD" w14:textId="0D97EC24" w:rsidR="007B4E88" w:rsidRPr="00F3112B" w:rsidRDefault="007D26A2" w:rsidP="007D26A2">
      <w:pPr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G</w:t>
      </w:r>
      <w:r w:rsidR="007B4E88" w:rsidRPr="00F3112B">
        <w:rPr>
          <w:rFonts w:ascii="Arial" w:hAnsi="Arial" w:cs="Arial"/>
          <w:b/>
          <w:bCs/>
        </w:rPr>
        <w:t>overnance &amp; Compliance</w:t>
      </w:r>
    </w:p>
    <w:p w14:paraId="5EC00149" w14:textId="72B09CD0" w:rsidR="007B4E88" w:rsidRPr="00F3112B" w:rsidRDefault="007B4E88" w:rsidP="007B4E88">
      <w:pPr>
        <w:numPr>
          <w:ilvl w:val="0"/>
          <w:numId w:val="2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 xml:space="preserve">Ensure the Fund complies with LGPS and FFPS regulations, The Pensions Regulator’s General Code of Practice, and relevant statutory guidance. </w:t>
      </w:r>
    </w:p>
    <w:p w14:paraId="06FE2856" w14:textId="50A6C716" w:rsidR="007B4E88" w:rsidRPr="00F3112B" w:rsidRDefault="007B4E88" w:rsidP="007B4E88">
      <w:pPr>
        <w:numPr>
          <w:ilvl w:val="0"/>
          <w:numId w:val="2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lastRenderedPageBreak/>
        <w:t xml:space="preserve">Support the Pension Committee and Local Pension Boards in their governance roles, including training, reporting, and performance monitoring. </w:t>
      </w:r>
    </w:p>
    <w:p w14:paraId="5F5E2469" w14:textId="77777777" w:rsidR="007B4E88" w:rsidRPr="00F3112B" w:rsidRDefault="007B4E88" w:rsidP="007B4E88">
      <w:pPr>
        <w:numPr>
          <w:ilvl w:val="0"/>
          <w:numId w:val="2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Maintain and review key policies including the Pension Administration Strategy, Funding Strategy Statement, and Investment Strategy Statement.</w:t>
      </w:r>
    </w:p>
    <w:p w14:paraId="630B6007" w14:textId="77777777" w:rsidR="00E06CE2" w:rsidRPr="00F3112B" w:rsidRDefault="00E06CE2" w:rsidP="00E06CE2">
      <w:pPr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Investment Pooling</w:t>
      </w:r>
    </w:p>
    <w:p w14:paraId="466FC5A2" w14:textId="3C7932F5" w:rsidR="00E06CE2" w:rsidRPr="00F3112B" w:rsidRDefault="000D49F4" w:rsidP="00E06CE2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Represent the </w:t>
      </w:r>
      <w:r w:rsidR="00E06CE2" w:rsidRPr="00F3112B">
        <w:rPr>
          <w:rFonts w:ascii="Arial" w:hAnsi="Arial" w:cs="Arial"/>
        </w:rPr>
        <w:t xml:space="preserve">fund in its </w:t>
      </w:r>
      <w:r w:rsidR="00603BD1">
        <w:rPr>
          <w:rFonts w:ascii="Arial" w:hAnsi="Arial" w:cs="Arial"/>
        </w:rPr>
        <w:t>work</w:t>
      </w:r>
      <w:r w:rsidR="00E06CE2" w:rsidRPr="00F3112B">
        <w:rPr>
          <w:rFonts w:ascii="Arial" w:hAnsi="Arial" w:cs="Arial"/>
        </w:rPr>
        <w:t xml:space="preserve"> with the investment pool, participating in joint governance structures and decision-making forums to ensure the fund’s </w:t>
      </w:r>
      <w:r w:rsidR="00603BD1">
        <w:rPr>
          <w:rFonts w:ascii="Arial" w:hAnsi="Arial" w:cs="Arial"/>
        </w:rPr>
        <w:t>views</w:t>
      </w:r>
      <w:r w:rsidR="00E06CE2" w:rsidRPr="00F3112B">
        <w:rPr>
          <w:rFonts w:ascii="Arial" w:hAnsi="Arial" w:cs="Arial"/>
        </w:rPr>
        <w:t xml:space="preserve"> are effectively communicated and </w:t>
      </w:r>
      <w:r w:rsidR="00AE0F97">
        <w:rPr>
          <w:rFonts w:ascii="Arial" w:hAnsi="Arial" w:cs="Arial"/>
        </w:rPr>
        <w:t>clearly shared</w:t>
      </w:r>
      <w:r w:rsidR="00E06CE2" w:rsidRPr="00F3112B">
        <w:rPr>
          <w:rFonts w:ascii="Arial" w:hAnsi="Arial" w:cs="Arial"/>
        </w:rPr>
        <w:t>.</w:t>
      </w:r>
    </w:p>
    <w:p w14:paraId="48FDB091" w14:textId="77777777" w:rsidR="00E06CE2" w:rsidRPr="00F3112B" w:rsidRDefault="00E06CE2" w:rsidP="00E06CE2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2FB0EAA" w14:textId="06287B9A" w:rsidR="00B10E65" w:rsidRPr="00DC3F0E" w:rsidRDefault="00B10E65" w:rsidP="00DC3F0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35C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Work with fellow pool partners to set and track performance measures to check how well pooled investments are working. This includes:</w:t>
      </w:r>
    </w:p>
    <w:p w14:paraId="0323897E" w14:textId="77777777" w:rsidR="00E06CE2" w:rsidRPr="00F3112B" w:rsidRDefault="00E06CE2" w:rsidP="00E06CE2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F3112B">
        <w:rPr>
          <w:rFonts w:ascii="Arial" w:hAnsi="Arial" w:cs="Arial"/>
        </w:rPr>
        <w:t>Fund performance against benchmarks.</w:t>
      </w:r>
    </w:p>
    <w:p w14:paraId="055E4905" w14:textId="77777777" w:rsidR="00E06CE2" w:rsidRPr="00F3112B" w:rsidRDefault="00E06CE2" w:rsidP="00E06CE2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F3112B">
        <w:rPr>
          <w:rFonts w:ascii="Arial" w:hAnsi="Arial" w:cs="Arial"/>
        </w:rPr>
        <w:t>Compliance with investment guidelines and regulatory standards</w:t>
      </w:r>
    </w:p>
    <w:p w14:paraId="0D23F8AC" w14:textId="77777777" w:rsidR="00E06CE2" w:rsidRPr="00F3112B" w:rsidRDefault="00E06CE2" w:rsidP="00E06CE2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F3112B">
        <w:rPr>
          <w:rFonts w:ascii="Arial" w:hAnsi="Arial" w:cs="Arial"/>
        </w:rPr>
        <w:t>Timeliness and quality of reporting from the pool</w:t>
      </w:r>
    </w:p>
    <w:p w14:paraId="38079D44" w14:textId="77777777" w:rsidR="00E06CE2" w:rsidRPr="00F3112B" w:rsidRDefault="00E06CE2" w:rsidP="00E06CE2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F3112B">
        <w:rPr>
          <w:rFonts w:ascii="Arial" w:hAnsi="Arial" w:cs="Arial"/>
        </w:rPr>
        <w:t>Engagement and responsiveness of the pool to fund priorities</w:t>
      </w:r>
    </w:p>
    <w:p w14:paraId="7C5FB60B" w14:textId="77777777" w:rsidR="00E06CE2" w:rsidRDefault="00E06CE2" w:rsidP="007B4E88">
      <w:pPr>
        <w:rPr>
          <w:rFonts w:ascii="Arial" w:hAnsi="Arial" w:cs="Arial"/>
          <w:b/>
          <w:bCs/>
        </w:rPr>
      </w:pPr>
    </w:p>
    <w:p w14:paraId="39A7C0B0" w14:textId="282707B7" w:rsidR="007B4E88" w:rsidRPr="00F3112B" w:rsidRDefault="007B4E88" w:rsidP="007B4E88">
      <w:pPr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Operational Oversight</w:t>
      </w:r>
    </w:p>
    <w:p w14:paraId="7397F308" w14:textId="62544424" w:rsidR="007B4E88" w:rsidRPr="00F3112B" w:rsidRDefault="007B4E88" w:rsidP="007B4E88">
      <w:pPr>
        <w:numPr>
          <w:ilvl w:val="0"/>
          <w:numId w:val="3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 xml:space="preserve">Manage the pensions administration contract with </w:t>
      </w:r>
      <w:r w:rsidR="00BC6F6A">
        <w:rPr>
          <w:rFonts w:ascii="Arial" w:hAnsi="Arial" w:cs="Arial"/>
        </w:rPr>
        <w:t>its external contractor</w:t>
      </w:r>
      <w:r w:rsidR="00E06CE2">
        <w:rPr>
          <w:rFonts w:ascii="Arial" w:hAnsi="Arial" w:cs="Arial"/>
        </w:rPr>
        <w:t xml:space="preserve">, </w:t>
      </w:r>
      <w:r w:rsidRPr="00F3112B">
        <w:rPr>
          <w:rFonts w:ascii="Arial" w:hAnsi="Arial" w:cs="Arial"/>
        </w:rPr>
        <w:t>Local Pensions Partnership Administration (LPPA), ensuring service standards and member experience are met.</w:t>
      </w:r>
    </w:p>
    <w:p w14:paraId="2753649B" w14:textId="77777777" w:rsidR="007B4E88" w:rsidRPr="00F3112B" w:rsidRDefault="007B4E88" w:rsidP="007B4E88">
      <w:pPr>
        <w:numPr>
          <w:ilvl w:val="0"/>
          <w:numId w:val="3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Oversee the delivery of pension services including retirements, transfers, annual benefit statements, and employer support.</w:t>
      </w:r>
    </w:p>
    <w:p w14:paraId="45475AF6" w14:textId="77777777" w:rsidR="007B4E88" w:rsidRPr="00F3112B" w:rsidRDefault="007B4E88" w:rsidP="007B4E88">
      <w:pPr>
        <w:numPr>
          <w:ilvl w:val="0"/>
          <w:numId w:val="3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Drive continuous improvement and digital transformation in pension administration.</w:t>
      </w:r>
    </w:p>
    <w:p w14:paraId="5D79623D" w14:textId="77777777" w:rsidR="007B4E88" w:rsidRPr="00F3112B" w:rsidRDefault="007B4E88" w:rsidP="007B4E88">
      <w:pPr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Financial Management</w:t>
      </w:r>
    </w:p>
    <w:p w14:paraId="14BA93F5" w14:textId="77777777" w:rsidR="007B4E88" w:rsidRPr="00F3112B" w:rsidRDefault="007B4E88" w:rsidP="007B4E88">
      <w:pPr>
        <w:numPr>
          <w:ilvl w:val="0"/>
          <w:numId w:val="4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Work with actuaries and finance colleagues to oversee triennial valuations, funding strategies, and cash flow forecasting.</w:t>
      </w:r>
    </w:p>
    <w:p w14:paraId="54CAD0A8" w14:textId="77777777" w:rsidR="007B4E88" w:rsidRPr="00F3112B" w:rsidRDefault="007B4E88" w:rsidP="007B4E88">
      <w:pPr>
        <w:numPr>
          <w:ilvl w:val="0"/>
          <w:numId w:val="4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Monitor investment performance and ensure alignment with the Fund’s objectives and ESG principles.</w:t>
      </w:r>
    </w:p>
    <w:p w14:paraId="03B38EC8" w14:textId="77777777" w:rsidR="007B4E88" w:rsidRPr="00F3112B" w:rsidRDefault="007B4E88" w:rsidP="007B4E88">
      <w:pPr>
        <w:numPr>
          <w:ilvl w:val="0"/>
          <w:numId w:val="4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Support the production of annual accounts and statutory reporting.</w:t>
      </w:r>
    </w:p>
    <w:p w14:paraId="1A7948A7" w14:textId="77777777" w:rsidR="007B4E88" w:rsidRPr="00F3112B" w:rsidRDefault="007B4E88" w:rsidP="007B4E88">
      <w:pPr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Stakeholder Engagement</w:t>
      </w:r>
    </w:p>
    <w:p w14:paraId="39E4F8C6" w14:textId="77777777" w:rsidR="007B4E88" w:rsidRPr="00F3112B" w:rsidRDefault="007B4E88" w:rsidP="007B4E88">
      <w:pPr>
        <w:numPr>
          <w:ilvl w:val="0"/>
          <w:numId w:val="5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Build strong relationships with scheme employers, members, unions, and external partners.</w:t>
      </w:r>
    </w:p>
    <w:p w14:paraId="2028900F" w14:textId="77777777" w:rsidR="007B4E88" w:rsidRPr="00F3112B" w:rsidRDefault="007B4E88" w:rsidP="007B4E88">
      <w:pPr>
        <w:numPr>
          <w:ilvl w:val="0"/>
          <w:numId w:val="5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Lead communications and engagement strategies to ensure transparency and responsiveness.</w:t>
      </w:r>
    </w:p>
    <w:p w14:paraId="4F2B57E7" w14:textId="77777777" w:rsidR="007B4E88" w:rsidRPr="00F3112B" w:rsidRDefault="007B4E88" w:rsidP="007B4E88">
      <w:pPr>
        <w:numPr>
          <w:ilvl w:val="0"/>
          <w:numId w:val="5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Represent Hertfordshire at national LGPS and FFPS forums and working groups.</w:t>
      </w:r>
    </w:p>
    <w:p w14:paraId="04FAD781" w14:textId="77777777" w:rsidR="008E0595" w:rsidRPr="00F3112B" w:rsidRDefault="008E0595" w:rsidP="008E05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</w:p>
    <w:p w14:paraId="2F92C548" w14:textId="2B8CA8D7" w:rsidR="008E0595" w:rsidRPr="00F3112B" w:rsidRDefault="008E0595" w:rsidP="008E05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Management</w:t>
      </w:r>
    </w:p>
    <w:p w14:paraId="092B8195" w14:textId="36AA4F25" w:rsidR="008E0595" w:rsidRPr="00F3112B" w:rsidRDefault="00E4086A" w:rsidP="00E4086A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F3112B">
        <w:rPr>
          <w:rFonts w:ascii="Arial" w:hAnsi="Arial" w:cs="Arial"/>
        </w:rPr>
        <w:t xml:space="preserve">To manage the team; ensure robust strategic planning, </w:t>
      </w:r>
      <w:r w:rsidR="00E92C14" w:rsidRPr="00F3112B">
        <w:rPr>
          <w:rFonts w:ascii="Arial" w:hAnsi="Arial" w:cs="Arial"/>
        </w:rPr>
        <w:t>performance,</w:t>
      </w:r>
      <w:r w:rsidRPr="00F3112B">
        <w:rPr>
          <w:rFonts w:ascii="Arial" w:hAnsi="Arial" w:cs="Arial"/>
        </w:rPr>
        <w:t xml:space="preserve"> and financial management, with value for money benchmarked effectively</w:t>
      </w:r>
      <w:r w:rsidR="00E92C14" w:rsidRPr="00F3112B">
        <w:rPr>
          <w:rFonts w:ascii="Arial" w:hAnsi="Arial" w:cs="Arial"/>
        </w:rPr>
        <w:t xml:space="preserve">. </w:t>
      </w:r>
      <w:r w:rsidRPr="00F3112B">
        <w:rPr>
          <w:rFonts w:ascii="Arial" w:hAnsi="Arial" w:cs="Arial"/>
        </w:rPr>
        <w:t xml:space="preserve">Ensure that effective processes are in place for recruiting, developing, appraising, </w:t>
      </w:r>
      <w:r w:rsidR="00E92C14" w:rsidRPr="00F3112B">
        <w:rPr>
          <w:rFonts w:ascii="Arial" w:hAnsi="Arial" w:cs="Arial"/>
        </w:rPr>
        <w:t>rewarding,</w:t>
      </w:r>
      <w:r w:rsidRPr="00F3112B">
        <w:rPr>
          <w:rFonts w:ascii="Arial" w:hAnsi="Arial" w:cs="Arial"/>
        </w:rPr>
        <w:t xml:space="preserve"> and retaining employees, promoting attendance and performance, in line with Council policy.</w:t>
      </w:r>
    </w:p>
    <w:p w14:paraId="4CD82B8F" w14:textId="77777777" w:rsidR="007B4E88" w:rsidRPr="00F3112B" w:rsidRDefault="0038740C" w:rsidP="007B4E88">
      <w:pPr>
        <w:rPr>
          <w:rFonts w:ascii="Arial" w:hAnsi="Arial" w:cs="Arial"/>
        </w:rPr>
      </w:pPr>
      <w:r>
        <w:rPr>
          <w:rFonts w:ascii="Arial" w:hAnsi="Arial" w:cs="Arial"/>
        </w:rPr>
        <w:pict w14:anchorId="59F0D39B">
          <v:rect id="_x0000_i1027" style="width:468pt;height:.5pt" o:hralign="center" o:hrstd="t" o:hr="t" fillcolor="#a0a0a0" stroked="f"/>
        </w:pict>
      </w:r>
    </w:p>
    <w:p w14:paraId="410B8BFF" w14:textId="77777777" w:rsidR="000D1AC2" w:rsidRPr="00F3112B" w:rsidRDefault="000D1AC2" w:rsidP="007B4E88">
      <w:pPr>
        <w:rPr>
          <w:rFonts w:ascii="Arial" w:hAnsi="Arial" w:cs="Arial"/>
          <w:b/>
          <w:bCs/>
        </w:rPr>
      </w:pPr>
    </w:p>
    <w:p w14:paraId="1C0BE358" w14:textId="10204534" w:rsidR="007B4E88" w:rsidRPr="00F3112B" w:rsidRDefault="007B4E88" w:rsidP="007B4E88">
      <w:pPr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Person Specification:</w:t>
      </w:r>
    </w:p>
    <w:p w14:paraId="0F1D6B02" w14:textId="77777777" w:rsidR="007B4E88" w:rsidRPr="00F3112B" w:rsidRDefault="007B4E88" w:rsidP="007B4E88">
      <w:pPr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Essential:</w:t>
      </w:r>
    </w:p>
    <w:p w14:paraId="769EDC80" w14:textId="77777777" w:rsidR="007B4E88" w:rsidRPr="00F3112B" w:rsidRDefault="007B4E88" w:rsidP="007B4E88">
      <w:pPr>
        <w:numPr>
          <w:ilvl w:val="0"/>
          <w:numId w:val="6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Extensive experience in public sector pensions, particularly LGPS and/or Firefighters’ schemes.</w:t>
      </w:r>
    </w:p>
    <w:p w14:paraId="477E2438" w14:textId="77777777" w:rsidR="007B4E88" w:rsidRPr="00F3112B" w:rsidRDefault="007B4E88" w:rsidP="007B4E88">
      <w:pPr>
        <w:numPr>
          <w:ilvl w:val="0"/>
          <w:numId w:val="6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Strong understanding of pension legislation, governance frameworks, and funding principles.</w:t>
      </w:r>
    </w:p>
    <w:p w14:paraId="4D404CCA" w14:textId="77777777" w:rsidR="007B4E88" w:rsidRPr="00F3112B" w:rsidRDefault="007B4E88" w:rsidP="007B4E88">
      <w:pPr>
        <w:numPr>
          <w:ilvl w:val="0"/>
          <w:numId w:val="6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Proven leadership and strategic planning capabilities.</w:t>
      </w:r>
    </w:p>
    <w:p w14:paraId="0520DD74" w14:textId="7917D373" w:rsidR="006F4C68" w:rsidRPr="00F3112B" w:rsidRDefault="006F4C68" w:rsidP="00AF7516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3112B">
        <w:rPr>
          <w:rFonts w:ascii="Arial" w:hAnsi="Arial" w:cs="Arial"/>
        </w:rPr>
        <w:t xml:space="preserve">Ability to build effective teams and relationships and to support others in developing and achieving their personal, </w:t>
      </w:r>
      <w:r w:rsidR="00E92C14" w:rsidRPr="00F3112B">
        <w:rPr>
          <w:rFonts w:ascii="Arial" w:hAnsi="Arial" w:cs="Arial"/>
        </w:rPr>
        <w:t>professional,</w:t>
      </w:r>
      <w:r w:rsidRPr="00F3112B">
        <w:rPr>
          <w:rFonts w:ascii="Arial" w:hAnsi="Arial" w:cs="Arial"/>
        </w:rPr>
        <w:t xml:space="preserve"> and organisational goals</w:t>
      </w:r>
      <w:r w:rsidR="000D1AC2" w:rsidRPr="00F3112B">
        <w:rPr>
          <w:rFonts w:ascii="Arial" w:hAnsi="Arial" w:cs="Arial"/>
        </w:rPr>
        <w:t>.</w:t>
      </w:r>
    </w:p>
    <w:p w14:paraId="499C66CB" w14:textId="77777777" w:rsidR="000D1AC2" w:rsidRPr="00F3112B" w:rsidRDefault="000D1AC2" w:rsidP="000D1AC2">
      <w:pPr>
        <w:spacing w:after="0" w:line="240" w:lineRule="auto"/>
        <w:ind w:left="720"/>
        <w:rPr>
          <w:rFonts w:ascii="Arial" w:hAnsi="Arial" w:cs="Arial"/>
        </w:rPr>
      </w:pPr>
    </w:p>
    <w:p w14:paraId="36CEB00F" w14:textId="7739F2B4" w:rsidR="007B4E88" w:rsidRPr="00F3112B" w:rsidRDefault="007B4E88" w:rsidP="007B4E88">
      <w:pPr>
        <w:numPr>
          <w:ilvl w:val="0"/>
          <w:numId w:val="6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>Excellent communication and stakeholder management skills.</w:t>
      </w:r>
    </w:p>
    <w:p w14:paraId="0A252CDB" w14:textId="5566D2E5" w:rsidR="006F4C68" w:rsidRPr="00F3112B" w:rsidRDefault="006F4C68" w:rsidP="007B4E88">
      <w:pPr>
        <w:numPr>
          <w:ilvl w:val="0"/>
          <w:numId w:val="6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 xml:space="preserve">Ability to </w:t>
      </w:r>
      <w:r w:rsidR="00E92C14" w:rsidRPr="00F3112B">
        <w:rPr>
          <w:rFonts w:ascii="Arial" w:hAnsi="Arial" w:cs="Arial"/>
        </w:rPr>
        <w:t>effectively manage</w:t>
      </w:r>
      <w:r w:rsidRPr="00F3112B">
        <w:rPr>
          <w:rFonts w:ascii="Arial" w:hAnsi="Arial" w:cs="Arial"/>
        </w:rPr>
        <w:t xml:space="preserve"> the relationships with internal and external partners on a range of issues.</w:t>
      </w:r>
    </w:p>
    <w:p w14:paraId="3244FEA6" w14:textId="77777777" w:rsidR="007B4E88" w:rsidRPr="00F3112B" w:rsidRDefault="007B4E88" w:rsidP="007B4E88">
      <w:pPr>
        <w:rPr>
          <w:rFonts w:ascii="Arial" w:hAnsi="Arial" w:cs="Arial"/>
          <w:b/>
          <w:bCs/>
        </w:rPr>
      </w:pPr>
      <w:r w:rsidRPr="00F3112B">
        <w:rPr>
          <w:rFonts w:ascii="Arial" w:hAnsi="Arial" w:cs="Arial"/>
          <w:b/>
          <w:bCs/>
        </w:rPr>
        <w:t>Desirable:</w:t>
      </w:r>
    </w:p>
    <w:p w14:paraId="468F503D" w14:textId="079D1F85" w:rsidR="006F4C68" w:rsidRPr="00F3112B" w:rsidRDefault="006F4C68" w:rsidP="006F4C68">
      <w:pPr>
        <w:numPr>
          <w:ilvl w:val="0"/>
          <w:numId w:val="7"/>
        </w:numPr>
        <w:rPr>
          <w:rFonts w:ascii="Arial" w:hAnsi="Arial" w:cs="Arial"/>
        </w:rPr>
      </w:pPr>
      <w:r w:rsidRPr="00F3112B">
        <w:rPr>
          <w:rFonts w:ascii="Arial" w:hAnsi="Arial" w:cs="Arial"/>
        </w:rPr>
        <w:t xml:space="preserve">Recognised CCAB qualification (preferably CIPFA) and/or Pension qualification (PMI) desirable but not essential if experience and comprehensive understanding of statutory, </w:t>
      </w:r>
      <w:r w:rsidR="00E92C14" w:rsidRPr="00F3112B">
        <w:rPr>
          <w:rFonts w:ascii="Arial" w:hAnsi="Arial" w:cs="Arial"/>
        </w:rPr>
        <w:t>regulatory,</w:t>
      </w:r>
      <w:r w:rsidRPr="00F3112B">
        <w:rPr>
          <w:rFonts w:ascii="Arial" w:hAnsi="Arial" w:cs="Arial"/>
        </w:rPr>
        <w:t xml:space="preserve"> and financial frameworks</w:t>
      </w:r>
      <w:r w:rsidR="00235C98">
        <w:rPr>
          <w:rFonts w:ascii="Arial" w:hAnsi="Arial" w:cs="Arial"/>
        </w:rPr>
        <w:t>.</w:t>
      </w:r>
    </w:p>
    <w:p w14:paraId="28720FFF" w14:textId="77777777" w:rsidR="007D497A" w:rsidRPr="00F3112B" w:rsidRDefault="007D497A">
      <w:pPr>
        <w:rPr>
          <w:rFonts w:ascii="Arial" w:hAnsi="Arial" w:cs="Arial"/>
        </w:rPr>
      </w:pPr>
    </w:p>
    <w:sectPr w:rsidR="007D497A" w:rsidRPr="00F31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28A"/>
    <w:multiLevelType w:val="hybridMultilevel"/>
    <w:tmpl w:val="382C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AF2"/>
    <w:multiLevelType w:val="multilevel"/>
    <w:tmpl w:val="E2A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75DE2"/>
    <w:multiLevelType w:val="multilevel"/>
    <w:tmpl w:val="E2A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6401F"/>
    <w:multiLevelType w:val="multilevel"/>
    <w:tmpl w:val="E2A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D614D"/>
    <w:multiLevelType w:val="multilevel"/>
    <w:tmpl w:val="0A50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C7CF5"/>
    <w:multiLevelType w:val="multilevel"/>
    <w:tmpl w:val="256C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73617"/>
    <w:multiLevelType w:val="hybridMultilevel"/>
    <w:tmpl w:val="C64A9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52A29"/>
    <w:multiLevelType w:val="multilevel"/>
    <w:tmpl w:val="4260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F7D63"/>
    <w:multiLevelType w:val="hybridMultilevel"/>
    <w:tmpl w:val="14263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91897"/>
    <w:multiLevelType w:val="multilevel"/>
    <w:tmpl w:val="260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876"/>
    <w:multiLevelType w:val="multilevel"/>
    <w:tmpl w:val="E2A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C7E64"/>
    <w:multiLevelType w:val="multilevel"/>
    <w:tmpl w:val="407C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35D03"/>
    <w:multiLevelType w:val="multilevel"/>
    <w:tmpl w:val="F494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01954"/>
    <w:multiLevelType w:val="multilevel"/>
    <w:tmpl w:val="B7FA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835824"/>
    <w:multiLevelType w:val="hybridMultilevel"/>
    <w:tmpl w:val="D2FA47B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5C3B7D"/>
    <w:multiLevelType w:val="multilevel"/>
    <w:tmpl w:val="E9FC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294204">
    <w:abstractNumId w:val="10"/>
  </w:num>
  <w:num w:numId="2" w16cid:durableId="985552766">
    <w:abstractNumId w:val="12"/>
  </w:num>
  <w:num w:numId="3" w16cid:durableId="1049190197">
    <w:abstractNumId w:val="11"/>
  </w:num>
  <w:num w:numId="4" w16cid:durableId="305858968">
    <w:abstractNumId w:val="5"/>
  </w:num>
  <w:num w:numId="5" w16cid:durableId="2020346515">
    <w:abstractNumId w:val="13"/>
  </w:num>
  <w:num w:numId="6" w16cid:durableId="448668334">
    <w:abstractNumId w:val="9"/>
  </w:num>
  <w:num w:numId="7" w16cid:durableId="1783261488">
    <w:abstractNumId w:val="4"/>
  </w:num>
  <w:num w:numId="8" w16cid:durableId="504632254">
    <w:abstractNumId w:val="15"/>
  </w:num>
  <w:num w:numId="9" w16cid:durableId="306978146">
    <w:abstractNumId w:val="7"/>
  </w:num>
  <w:num w:numId="10" w16cid:durableId="468481568">
    <w:abstractNumId w:val="0"/>
  </w:num>
  <w:num w:numId="11" w16cid:durableId="191964170">
    <w:abstractNumId w:val="8"/>
  </w:num>
  <w:num w:numId="12" w16cid:durableId="899823805">
    <w:abstractNumId w:val="14"/>
  </w:num>
  <w:num w:numId="13" w16cid:durableId="1970084131">
    <w:abstractNumId w:val="2"/>
  </w:num>
  <w:num w:numId="14" w16cid:durableId="129708858">
    <w:abstractNumId w:val="6"/>
  </w:num>
  <w:num w:numId="15" w16cid:durableId="623316315">
    <w:abstractNumId w:val="3"/>
  </w:num>
  <w:num w:numId="16" w16cid:durableId="53977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88"/>
    <w:rsid w:val="00033ADE"/>
    <w:rsid w:val="00085809"/>
    <w:rsid w:val="00095870"/>
    <w:rsid w:val="000D1AC2"/>
    <w:rsid w:val="000D49F4"/>
    <w:rsid w:val="000E58CD"/>
    <w:rsid w:val="000F44F2"/>
    <w:rsid w:val="00235C98"/>
    <w:rsid w:val="00252533"/>
    <w:rsid w:val="0030190E"/>
    <w:rsid w:val="00370C42"/>
    <w:rsid w:val="00373527"/>
    <w:rsid w:val="0038740C"/>
    <w:rsid w:val="0039574C"/>
    <w:rsid w:val="00477074"/>
    <w:rsid w:val="00493750"/>
    <w:rsid w:val="00545401"/>
    <w:rsid w:val="005B3F7E"/>
    <w:rsid w:val="005C63CD"/>
    <w:rsid w:val="005D4EFA"/>
    <w:rsid w:val="00603BD1"/>
    <w:rsid w:val="006249C7"/>
    <w:rsid w:val="006553A5"/>
    <w:rsid w:val="00686D60"/>
    <w:rsid w:val="00692B1A"/>
    <w:rsid w:val="006F4C68"/>
    <w:rsid w:val="00716FD7"/>
    <w:rsid w:val="007B4E88"/>
    <w:rsid w:val="007D26A2"/>
    <w:rsid w:val="007D497A"/>
    <w:rsid w:val="007E0111"/>
    <w:rsid w:val="0083201D"/>
    <w:rsid w:val="008E0595"/>
    <w:rsid w:val="00987DA0"/>
    <w:rsid w:val="009D4A4B"/>
    <w:rsid w:val="009E2454"/>
    <w:rsid w:val="00A24A28"/>
    <w:rsid w:val="00A80896"/>
    <w:rsid w:val="00AE0F97"/>
    <w:rsid w:val="00AF5FA0"/>
    <w:rsid w:val="00B02240"/>
    <w:rsid w:val="00B10E65"/>
    <w:rsid w:val="00B17BFA"/>
    <w:rsid w:val="00B42487"/>
    <w:rsid w:val="00BA49BD"/>
    <w:rsid w:val="00BC6F6A"/>
    <w:rsid w:val="00C5278F"/>
    <w:rsid w:val="00CA5929"/>
    <w:rsid w:val="00CF5F22"/>
    <w:rsid w:val="00D057A4"/>
    <w:rsid w:val="00D57C26"/>
    <w:rsid w:val="00DC3F0E"/>
    <w:rsid w:val="00DF442A"/>
    <w:rsid w:val="00E06CE2"/>
    <w:rsid w:val="00E334FD"/>
    <w:rsid w:val="00E4086A"/>
    <w:rsid w:val="00E50450"/>
    <w:rsid w:val="00E92C14"/>
    <w:rsid w:val="00F30856"/>
    <w:rsid w:val="00F3112B"/>
    <w:rsid w:val="00F3561D"/>
    <w:rsid w:val="00F66831"/>
    <w:rsid w:val="00F9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B82D19D"/>
  <w15:chartTrackingRefBased/>
  <w15:docId w15:val="{51152FBD-BE28-41F1-B9BF-DD94EBE6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E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4E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E8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E0111"/>
    <w:rPr>
      <w:b/>
      <w:bCs/>
    </w:rPr>
  </w:style>
  <w:style w:type="paragraph" w:styleId="Header">
    <w:name w:val="header"/>
    <w:basedOn w:val="Normal"/>
    <w:link w:val="HeaderChar"/>
    <w:rsid w:val="006F4C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6F4C6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B17BF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1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686</Words>
  <Characters>4668</Characters>
  <Application>Microsoft Office Word</Application>
  <DocSecurity>0</DocSecurity>
  <Lines>106</Lines>
  <Paragraphs>56</Paragraphs>
  <ScaleCrop>false</ScaleCrop>
  <Company>Hertfordshire County Council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Towey</dc:creator>
  <cp:keywords/>
  <dc:description/>
  <cp:lastModifiedBy>Steven Pilsworth</cp:lastModifiedBy>
  <cp:revision>56</cp:revision>
  <dcterms:created xsi:type="dcterms:W3CDTF">2025-10-24T07:34:00Z</dcterms:created>
  <dcterms:modified xsi:type="dcterms:W3CDTF">2026-01-02T11:58:00Z</dcterms:modified>
</cp:coreProperties>
</file>